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C06858" w:rsidRDefault="004D5DD8" w:rsidP="008A22C6">
      <w:pPr>
        <w:rPr>
          <w:b/>
          <w:caps/>
          <w:sz w:val="32"/>
          <w:szCs w:val="32"/>
        </w:rPr>
      </w:pPr>
      <w:r w:rsidRPr="00C06858">
        <w:rPr>
          <w:b/>
          <w:caps/>
          <w:sz w:val="32"/>
          <w:szCs w:val="32"/>
        </w:rPr>
        <w:t xml:space="preserve">The Implications </w:t>
      </w:r>
      <w:r w:rsidR="004D0124" w:rsidRPr="00C06858">
        <w:rPr>
          <w:b/>
          <w:caps/>
          <w:sz w:val="32"/>
          <w:szCs w:val="32"/>
        </w:rPr>
        <w:t xml:space="preserve">of </w:t>
      </w:r>
      <w:r w:rsidRPr="00C06858">
        <w:rPr>
          <w:b/>
          <w:caps/>
          <w:sz w:val="32"/>
          <w:szCs w:val="32"/>
        </w:rPr>
        <w:t>Brexit</w:t>
      </w:r>
      <w:r w:rsidR="0055327E">
        <w:rPr>
          <w:b/>
          <w:caps/>
          <w:sz w:val="32"/>
          <w:szCs w:val="32"/>
        </w:rPr>
        <w:t xml:space="preserve"> in oxford</w:t>
      </w:r>
      <w:r w:rsidR="00DB50DC">
        <w:rPr>
          <w:b/>
          <w:caps/>
          <w:sz w:val="32"/>
          <w:szCs w:val="32"/>
        </w:rPr>
        <w:t xml:space="preserve"> </w:t>
      </w:r>
    </w:p>
    <w:p w:rsidR="004D0124" w:rsidRPr="00C06858" w:rsidRDefault="004D0124" w:rsidP="008A22C6">
      <w:pPr>
        <w:rPr>
          <w:b/>
        </w:rPr>
      </w:pPr>
    </w:p>
    <w:p w:rsidR="004D0124" w:rsidRDefault="004D0124" w:rsidP="008A22C6">
      <w:pPr>
        <w:rPr>
          <w:b/>
        </w:rPr>
      </w:pPr>
      <w:r w:rsidRPr="00621396">
        <w:rPr>
          <w:b/>
        </w:rPr>
        <w:t xml:space="preserve">Date </w:t>
      </w:r>
      <w:r w:rsidR="00621396">
        <w:rPr>
          <w:b/>
        </w:rPr>
        <w:tab/>
      </w:r>
      <w:r w:rsidRPr="00621396">
        <w:rPr>
          <w:b/>
        </w:rPr>
        <w:t>:</w:t>
      </w:r>
      <w:r w:rsidRPr="00621396">
        <w:rPr>
          <w:b/>
        </w:rPr>
        <w:tab/>
      </w:r>
      <w:r w:rsidR="00C06858" w:rsidRPr="00621396">
        <w:rPr>
          <w:b/>
        </w:rPr>
        <w:tab/>
      </w:r>
      <w:r w:rsidR="00C06858" w:rsidRPr="00621396">
        <w:rPr>
          <w:b/>
        </w:rPr>
        <w:tab/>
      </w:r>
      <w:r w:rsidR="00BD609B">
        <w:rPr>
          <w:b/>
        </w:rPr>
        <w:t>2</w:t>
      </w:r>
      <w:r w:rsidR="00B53D9C">
        <w:rPr>
          <w:b/>
        </w:rPr>
        <w:t>6</w:t>
      </w:r>
      <w:r w:rsidR="00BD609B">
        <w:rPr>
          <w:b/>
        </w:rPr>
        <w:t>-0</w:t>
      </w:r>
      <w:r w:rsidR="00B53D9C">
        <w:rPr>
          <w:b/>
        </w:rPr>
        <w:t>6</w:t>
      </w:r>
      <w:r w:rsidR="00BD609B">
        <w:rPr>
          <w:b/>
        </w:rPr>
        <w:t xml:space="preserve">-2018 </w:t>
      </w:r>
    </w:p>
    <w:p w:rsidR="001A225B" w:rsidRPr="00621396" w:rsidRDefault="001A225B" w:rsidP="008A22C6">
      <w:pPr>
        <w:rPr>
          <w:b/>
        </w:rPr>
      </w:pPr>
    </w:p>
    <w:p w:rsidR="004D0124" w:rsidRDefault="00C06858" w:rsidP="008A22C6">
      <w:pPr>
        <w:rPr>
          <w:b/>
        </w:rPr>
      </w:pPr>
      <w:r w:rsidRPr="00621396">
        <w:rPr>
          <w:b/>
        </w:rPr>
        <w:t>From</w:t>
      </w:r>
      <w:r w:rsidRPr="00C06858">
        <w:rPr>
          <w:b/>
          <w:sz w:val="32"/>
          <w:szCs w:val="32"/>
        </w:rPr>
        <w:t xml:space="preserve"> </w:t>
      </w:r>
      <w:r w:rsidR="00621396">
        <w:rPr>
          <w:b/>
          <w:sz w:val="32"/>
          <w:szCs w:val="32"/>
        </w:rPr>
        <w:tab/>
      </w:r>
      <w:r w:rsidRPr="00C06858">
        <w:rPr>
          <w:b/>
          <w:sz w:val="32"/>
          <w:szCs w:val="32"/>
        </w:rPr>
        <w:t>:</w:t>
      </w:r>
      <w:r w:rsidRPr="00C06858">
        <w:rPr>
          <w:b/>
          <w:sz w:val="32"/>
          <w:szCs w:val="32"/>
        </w:rPr>
        <w:tab/>
      </w:r>
      <w:r w:rsidRPr="00C06858">
        <w:rPr>
          <w:b/>
          <w:sz w:val="32"/>
          <w:szCs w:val="32"/>
        </w:rPr>
        <w:tab/>
      </w:r>
      <w:r>
        <w:rPr>
          <w:b/>
          <w:sz w:val="32"/>
          <w:szCs w:val="32"/>
        </w:rPr>
        <w:tab/>
      </w:r>
      <w:r w:rsidR="004D0124" w:rsidRPr="00FB569A">
        <w:rPr>
          <w:b/>
        </w:rPr>
        <w:t xml:space="preserve">Head </w:t>
      </w:r>
      <w:proofErr w:type="gramStart"/>
      <w:r w:rsidR="004D0124" w:rsidRPr="00FB569A">
        <w:rPr>
          <w:b/>
        </w:rPr>
        <w:t>Of</w:t>
      </w:r>
      <w:proofErr w:type="gramEnd"/>
      <w:r w:rsidR="004D0124" w:rsidRPr="00FB569A">
        <w:rPr>
          <w:b/>
        </w:rPr>
        <w:t xml:space="preserve"> Financial Services</w:t>
      </w:r>
    </w:p>
    <w:p w:rsidR="001A225B" w:rsidRDefault="001A225B" w:rsidP="008A22C6">
      <w:pPr>
        <w:rPr>
          <w:b/>
        </w:rPr>
      </w:pPr>
    </w:p>
    <w:p w:rsidR="00621396" w:rsidRPr="00FB569A" w:rsidRDefault="00621396" w:rsidP="008A22C6">
      <w:pPr>
        <w:rPr>
          <w:b/>
        </w:rPr>
      </w:pPr>
      <w:r>
        <w:rPr>
          <w:b/>
        </w:rPr>
        <w:t xml:space="preserve">To </w:t>
      </w:r>
      <w:r>
        <w:rPr>
          <w:b/>
        </w:rPr>
        <w:tab/>
        <w:t>:</w:t>
      </w:r>
      <w:r>
        <w:rPr>
          <w:b/>
        </w:rPr>
        <w:tab/>
      </w:r>
      <w:r>
        <w:rPr>
          <w:b/>
        </w:rPr>
        <w:tab/>
      </w:r>
      <w:r>
        <w:rPr>
          <w:b/>
        </w:rPr>
        <w:tab/>
        <w:t>Finance Scrutiny Panel</w:t>
      </w:r>
    </w:p>
    <w:p w:rsidR="001D6423" w:rsidRDefault="001D6423" w:rsidP="008A22C6"/>
    <w:p w:rsidR="00AC00EE" w:rsidRPr="00AC00EE" w:rsidRDefault="00AC00EE" w:rsidP="008A22C6">
      <w:pPr>
        <w:rPr>
          <w:b/>
        </w:rPr>
      </w:pPr>
      <w:r>
        <w:rPr>
          <w:b/>
        </w:rPr>
        <w:t>Background</w:t>
      </w:r>
    </w:p>
    <w:p w:rsidR="001E74F9" w:rsidRPr="00B90FB2" w:rsidRDefault="001E74F9" w:rsidP="001E74F9">
      <w:r w:rsidRPr="00B90FB2">
        <w:t xml:space="preserve">The Head of Financial Services </w:t>
      </w:r>
      <w:r w:rsidR="00BD609B">
        <w:t xml:space="preserve">has provided a number of </w:t>
      </w:r>
      <w:r w:rsidRPr="00B90FB2">
        <w:t>update</w:t>
      </w:r>
      <w:r w:rsidR="00BD609B">
        <w:t>s</w:t>
      </w:r>
      <w:r w:rsidRPr="00B90FB2">
        <w:t xml:space="preserve"> to the Finance Scrutiny Panel </w:t>
      </w:r>
      <w:r w:rsidR="00BD609B">
        <w:t>f</w:t>
      </w:r>
      <w:r w:rsidRPr="00B90FB2">
        <w:t>ollowing the vote for Brexit on 23</w:t>
      </w:r>
      <w:r w:rsidRPr="00B90FB2">
        <w:rPr>
          <w:vertAlign w:val="superscript"/>
        </w:rPr>
        <w:t>rd</w:t>
      </w:r>
      <w:r w:rsidRPr="00B90FB2">
        <w:t xml:space="preserve"> June 2016 and the triggering of article 50 on 29</w:t>
      </w:r>
      <w:r w:rsidRPr="00B90FB2">
        <w:rPr>
          <w:vertAlign w:val="superscript"/>
        </w:rPr>
        <w:t>th</w:t>
      </w:r>
      <w:r w:rsidRPr="00B90FB2">
        <w:t xml:space="preserve"> March 2017 signalling the commencement of Britain’s exit from the EU. </w:t>
      </w:r>
      <w:r w:rsidR="00BD609B">
        <w:t xml:space="preserve">The last </w:t>
      </w:r>
      <w:r w:rsidR="00875DE3">
        <w:t xml:space="preserve">report </w:t>
      </w:r>
      <w:r w:rsidR="00BD609B">
        <w:t>in August 2017 pr</w:t>
      </w:r>
      <w:r w:rsidRPr="00B90FB2">
        <w:t>ovide</w:t>
      </w:r>
      <w:r w:rsidR="00BD609B">
        <w:t>d</w:t>
      </w:r>
      <w:r w:rsidRPr="00B90FB2">
        <w:t xml:space="preserve"> an update on the issues affecting the economy generally and </w:t>
      </w:r>
      <w:r w:rsidR="00BD609B">
        <w:t xml:space="preserve">any potential issues for </w:t>
      </w:r>
      <w:r w:rsidRPr="00B90FB2">
        <w:t xml:space="preserve">Oxford City </w:t>
      </w:r>
      <w:r w:rsidR="00BD609B">
        <w:t xml:space="preserve">and concluded that nothing significant was emerging and in reality ‘it was too early to tell.’ This paper revisits the subject by updating previous information and overlaying latest Brexit information. </w:t>
      </w:r>
    </w:p>
    <w:p w:rsidR="00FB569A" w:rsidRDefault="00FB569A" w:rsidP="008A22C6"/>
    <w:p w:rsidR="00AC00EE" w:rsidRPr="00AC00EE" w:rsidRDefault="00AC00EE" w:rsidP="008A22C6">
      <w:pPr>
        <w:rPr>
          <w:b/>
        </w:rPr>
      </w:pPr>
      <w:r w:rsidRPr="00AC00EE">
        <w:rPr>
          <w:b/>
        </w:rPr>
        <w:t>Executive Summary</w:t>
      </w:r>
    </w:p>
    <w:p w:rsidR="00187676" w:rsidRDefault="00187676" w:rsidP="00AC00EE">
      <w:pPr>
        <w:shd w:val="clear" w:color="auto" w:fill="FFFFFF"/>
        <w:rPr>
          <w:rFonts w:eastAsia="Times New Roman"/>
          <w:lang w:eastAsia="en-GB"/>
        </w:rPr>
      </w:pPr>
      <w:r w:rsidRPr="00187676">
        <w:rPr>
          <w:rFonts w:eastAsia="Times New Roman"/>
          <w:lang w:eastAsia="en-GB"/>
        </w:rPr>
        <w:t>This update</w:t>
      </w:r>
      <w:r>
        <w:rPr>
          <w:rFonts w:eastAsia="Times New Roman"/>
          <w:lang w:eastAsia="en-GB"/>
        </w:rPr>
        <w:t xml:space="preserve"> gives an overview of the latest national position on Brexit and the implications both for the City of Oxford and also Oxford City Council. </w:t>
      </w:r>
    </w:p>
    <w:p w:rsidR="00187676" w:rsidRDefault="00187676" w:rsidP="00AC00EE">
      <w:pPr>
        <w:shd w:val="clear" w:color="auto" w:fill="FFFFFF"/>
        <w:rPr>
          <w:rFonts w:eastAsia="Times New Roman"/>
          <w:lang w:eastAsia="en-GB"/>
        </w:rPr>
      </w:pPr>
    </w:p>
    <w:p w:rsidR="00187676" w:rsidRDefault="00F62D10" w:rsidP="00AC00EE">
      <w:pPr>
        <w:shd w:val="clear" w:color="auto" w:fill="FFFFFF"/>
        <w:rPr>
          <w:rFonts w:eastAsia="Times New Roman"/>
          <w:lang w:eastAsia="en-GB"/>
        </w:rPr>
      </w:pPr>
      <w:r>
        <w:rPr>
          <w:rFonts w:eastAsia="Times New Roman"/>
          <w:lang w:eastAsia="en-GB"/>
        </w:rPr>
        <w:t xml:space="preserve">Over the last few months the UK Government has focused on the </w:t>
      </w:r>
      <w:r w:rsidR="00187676">
        <w:rPr>
          <w:rFonts w:eastAsia="Times New Roman"/>
          <w:lang w:eastAsia="en-GB"/>
        </w:rPr>
        <w:t>Brexit divorce deal</w:t>
      </w:r>
      <w:r>
        <w:rPr>
          <w:rFonts w:eastAsia="Times New Roman"/>
          <w:lang w:eastAsia="en-GB"/>
        </w:rPr>
        <w:t>.</w:t>
      </w:r>
      <w:r w:rsidR="00187676">
        <w:rPr>
          <w:rFonts w:eastAsia="Times New Roman"/>
          <w:lang w:eastAsia="en-GB"/>
        </w:rPr>
        <w:t xml:space="preserve"> </w:t>
      </w:r>
      <w:r>
        <w:rPr>
          <w:rFonts w:eastAsia="Times New Roman"/>
          <w:lang w:eastAsia="en-GB"/>
        </w:rPr>
        <w:t xml:space="preserve">Whilst the </w:t>
      </w:r>
      <w:r w:rsidR="00187676">
        <w:rPr>
          <w:rFonts w:eastAsia="Times New Roman"/>
          <w:lang w:eastAsia="en-GB"/>
        </w:rPr>
        <w:t>main issues of the Irish Border, how much the UK will owe or what happens to EU citizens living in the UK ha</w:t>
      </w:r>
      <w:r>
        <w:rPr>
          <w:rFonts w:eastAsia="Times New Roman"/>
          <w:lang w:eastAsia="en-GB"/>
        </w:rPr>
        <w:t>ve</w:t>
      </w:r>
      <w:r w:rsidR="00187676">
        <w:rPr>
          <w:rFonts w:eastAsia="Times New Roman"/>
          <w:lang w:eastAsia="en-GB"/>
        </w:rPr>
        <w:t xml:space="preserve"> </w:t>
      </w:r>
      <w:r>
        <w:rPr>
          <w:rFonts w:eastAsia="Times New Roman"/>
          <w:lang w:eastAsia="en-GB"/>
        </w:rPr>
        <w:t xml:space="preserve">still </w:t>
      </w:r>
      <w:r w:rsidR="00187676">
        <w:rPr>
          <w:rFonts w:eastAsia="Times New Roman"/>
          <w:lang w:eastAsia="en-GB"/>
        </w:rPr>
        <w:t xml:space="preserve">all </w:t>
      </w:r>
      <w:r>
        <w:rPr>
          <w:rFonts w:eastAsia="Times New Roman"/>
          <w:lang w:eastAsia="en-GB"/>
        </w:rPr>
        <w:t>to be ag</w:t>
      </w:r>
      <w:r w:rsidR="00187676">
        <w:rPr>
          <w:rFonts w:eastAsia="Times New Roman"/>
          <w:lang w:eastAsia="en-GB"/>
        </w:rPr>
        <w:t xml:space="preserve">reed </w:t>
      </w:r>
      <w:r>
        <w:rPr>
          <w:rFonts w:eastAsia="Times New Roman"/>
          <w:lang w:eastAsia="en-GB"/>
        </w:rPr>
        <w:t xml:space="preserve">there </w:t>
      </w:r>
      <w:r w:rsidR="00187676">
        <w:rPr>
          <w:rFonts w:eastAsia="Times New Roman"/>
          <w:lang w:eastAsia="en-GB"/>
        </w:rPr>
        <w:t xml:space="preserve">sufficient common ground </w:t>
      </w:r>
      <w:r>
        <w:rPr>
          <w:rFonts w:eastAsia="Times New Roman"/>
          <w:lang w:eastAsia="en-GB"/>
        </w:rPr>
        <w:t>to allow negotiations to continue</w:t>
      </w:r>
      <w:r w:rsidR="00187676">
        <w:rPr>
          <w:rFonts w:eastAsia="Times New Roman"/>
          <w:lang w:eastAsia="en-GB"/>
        </w:rPr>
        <w:t xml:space="preserve">. Clearly the ‘devil will still be in the detail’. In addition there is confirmation that there will be a transitional period between 29/3/2019 and December 2020 during which the UK will be able to strike its own trade deals but </w:t>
      </w:r>
      <w:r w:rsidR="00723D44">
        <w:rPr>
          <w:rFonts w:eastAsia="Times New Roman"/>
          <w:lang w:eastAsia="en-GB"/>
        </w:rPr>
        <w:t>they won</w:t>
      </w:r>
      <w:r w:rsidR="00875DE3">
        <w:rPr>
          <w:rFonts w:eastAsia="Times New Roman"/>
          <w:lang w:eastAsia="en-GB"/>
        </w:rPr>
        <w:t>’</w:t>
      </w:r>
      <w:r w:rsidR="00723D44">
        <w:rPr>
          <w:rFonts w:eastAsia="Times New Roman"/>
          <w:lang w:eastAsia="en-GB"/>
        </w:rPr>
        <w:t>t come into force until January 2021.</w:t>
      </w:r>
    </w:p>
    <w:p w:rsidR="00723D44" w:rsidRDefault="00723D44" w:rsidP="00AC00EE">
      <w:pPr>
        <w:shd w:val="clear" w:color="auto" w:fill="FFFFFF"/>
        <w:rPr>
          <w:rFonts w:eastAsia="Times New Roman"/>
          <w:lang w:eastAsia="en-GB"/>
        </w:rPr>
      </w:pPr>
    </w:p>
    <w:p w:rsidR="00723D44" w:rsidRDefault="00723D44" w:rsidP="00AC00EE">
      <w:pPr>
        <w:shd w:val="clear" w:color="auto" w:fill="FFFFFF"/>
        <w:rPr>
          <w:rFonts w:eastAsia="Times New Roman"/>
          <w:lang w:eastAsia="en-GB"/>
        </w:rPr>
      </w:pPr>
      <w:r>
        <w:rPr>
          <w:rFonts w:eastAsia="Times New Roman"/>
          <w:lang w:eastAsia="en-GB"/>
        </w:rPr>
        <w:t xml:space="preserve">Recent demonstrations in the UK have called for </w:t>
      </w:r>
      <w:r w:rsidR="005B63A3" w:rsidRPr="005B63A3">
        <w:rPr>
          <w:rFonts w:eastAsia="Times New Roman"/>
          <w:lang w:eastAsia="en-GB"/>
        </w:rPr>
        <w:t xml:space="preserve">a </w:t>
      </w:r>
      <w:r w:rsidR="005B63A3" w:rsidRPr="005B63A3">
        <w:rPr>
          <w:color w:val="333333"/>
        </w:rPr>
        <w:t>public vote on the final negotiations</w:t>
      </w:r>
      <w:r w:rsidR="005B63A3">
        <w:rPr>
          <w:color w:val="333333"/>
        </w:rPr>
        <w:t xml:space="preserve"> and </w:t>
      </w:r>
      <w:r>
        <w:rPr>
          <w:rFonts w:eastAsia="Times New Roman"/>
          <w:lang w:eastAsia="en-GB"/>
        </w:rPr>
        <w:t xml:space="preserve">major businesses such as Airbus, BMW and Unipart </w:t>
      </w:r>
      <w:r w:rsidR="005B63A3">
        <w:rPr>
          <w:rFonts w:eastAsia="Times New Roman"/>
          <w:lang w:eastAsia="en-GB"/>
        </w:rPr>
        <w:t xml:space="preserve">have raised their </w:t>
      </w:r>
      <w:r>
        <w:rPr>
          <w:rFonts w:eastAsia="Times New Roman"/>
          <w:lang w:eastAsia="en-GB"/>
        </w:rPr>
        <w:t xml:space="preserve">concerns about the potential implications </w:t>
      </w:r>
      <w:r w:rsidR="00F62D10">
        <w:rPr>
          <w:rFonts w:eastAsia="Times New Roman"/>
          <w:lang w:eastAsia="en-GB"/>
        </w:rPr>
        <w:t xml:space="preserve">for them </w:t>
      </w:r>
      <w:r>
        <w:rPr>
          <w:rFonts w:eastAsia="Times New Roman"/>
          <w:lang w:eastAsia="en-GB"/>
        </w:rPr>
        <w:t xml:space="preserve">in the event of no deal. </w:t>
      </w:r>
    </w:p>
    <w:p w:rsidR="00187676" w:rsidRPr="00187676" w:rsidRDefault="00187676" w:rsidP="00187676">
      <w:pPr>
        <w:pStyle w:val="ListParagraph"/>
        <w:shd w:val="clear" w:color="auto" w:fill="FFFFFF"/>
        <w:rPr>
          <w:rFonts w:eastAsia="Times New Roman"/>
          <w:lang w:eastAsia="en-GB"/>
        </w:rPr>
      </w:pPr>
    </w:p>
    <w:p w:rsidR="00FC5A76" w:rsidRPr="005B63A3" w:rsidRDefault="005B63A3" w:rsidP="00AC00EE">
      <w:pPr>
        <w:shd w:val="clear" w:color="auto" w:fill="FFFFFF"/>
        <w:rPr>
          <w:rFonts w:eastAsia="Times New Roman"/>
          <w:lang w:eastAsia="en-GB"/>
        </w:rPr>
      </w:pPr>
      <w:r w:rsidRPr="005B63A3">
        <w:rPr>
          <w:rFonts w:eastAsia="Times New Roman"/>
          <w:lang w:eastAsia="en-GB"/>
        </w:rPr>
        <w:t xml:space="preserve">In other </w:t>
      </w:r>
      <w:proofErr w:type="gramStart"/>
      <w:r w:rsidRPr="005B63A3">
        <w:rPr>
          <w:rFonts w:eastAsia="Times New Roman"/>
          <w:lang w:eastAsia="en-GB"/>
        </w:rPr>
        <w:t>developments :</w:t>
      </w:r>
      <w:proofErr w:type="gramEnd"/>
    </w:p>
    <w:p w:rsidR="005B63A3" w:rsidRPr="005B63A3" w:rsidRDefault="005B63A3" w:rsidP="005B63A3">
      <w:pPr>
        <w:pStyle w:val="ListParagraph"/>
        <w:numPr>
          <w:ilvl w:val="0"/>
          <w:numId w:val="26"/>
        </w:numPr>
        <w:shd w:val="clear" w:color="auto" w:fill="FFFFFF"/>
        <w:rPr>
          <w:rFonts w:eastAsia="Times New Roman"/>
          <w:lang w:eastAsia="en-GB"/>
        </w:rPr>
      </w:pPr>
      <w:r w:rsidRPr="005B63A3">
        <w:rPr>
          <w:rFonts w:eastAsia="Times New Roman"/>
          <w:lang w:eastAsia="en-GB"/>
        </w:rPr>
        <w:t xml:space="preserve">The LGA have published what they see are their key priorities  including : </w:t>
      </w:r>
    </w:p>
    <w:p w:rsidR="005B63A3" w:rsidRPr="00564AEE" w:rsidRDefault="005B63A3" w:rsidP="005B63A3">
      <w:pPr>
        <w:pStyle w:val="ListParagraph"/>
        <w:numPr>
          <w:ilvl w:val="1"/>
          <w:numId w:val="26"/>
        </w:numPr>
        <w:shd w:val="clear" w:color="auto" w:fill="FFFFFF"/>
        <w:rPr>
          <w:rFonts w:eastAsia="Times New Roman"/>
          <w:lang w:eastAsia="en-GB"/>
        </w:rPr>
      </w:pPr>
      <w:r w:rsidRPr="005B63A3">
        <w:rPr>
          <w:rFonts w:eastAsia="Times New Roman"/>
          <w:lang w:eastAsia="en-GB"/>
        </w:rPr>
        <w:t xml:space="preserve"> </w:t>
      </w:r>
      <w:r w:rsidRPr="00564AEE">
        <w:rPr>
          <w:rFonts w:eastAsia="Times New Roman"/>
          <w:bCs/>
          <w:lang w:val="en" w:eastAsia="en-GB"/>
        </w:rPr>
        <w:t>Autonomy of local government</w:t>
      </w:r>
    </w:p>
    <w:p w:rsidR="005B63A3" w:rsidRPr="00564AEE" w:rsidRDefault="005B63A3" w:rsidP="005B63A3">
      <w:pPr>
        <w:pStyle w:val="ListParagraph"/>
        <w:numPr>
          <w:ilvl w:val="1"/>
          <w:numId w:val="26"/>
        </w:numPr>
        <w:shd w:val="clear" w:color="auto" w:fill="FFFFFF"/>
        <w:rPr>
          <w:rFonts w:eastAsia="Times New Roman"/>
          <w:lang w:eastAsia="en-GB"/>
        </w:rPr>
      </w:pPr>
      <w:r w:rsidRPr="00564AEE">
        <w:rPr>
          <w:rFonts w:eastAsia="Times New Roman"/>
          <w:bCs/>
          <w:lang w:val="en" w:eastAsia="en-GB"/>
        </w:rPr>
        <w:t>Developing a new legal base for local government</w:t>
      </w:r>
    </w:p>
    <w:p w:rsidR="005B63A3" w:rsidRPr="00564AEE" w:rsidRDefault="005B63A3" w:rsidP="005B63A3">
      <w:pPr>
        <w:pStyle w:val="ListParagraph"/>
        <w:numPr>
          <w:ilvl w:val="1"/>
          <w:numId w:val="26"/>
        </w:numPr>
        <w:shd w:val="clear" w:color="auto" w:fill="FFFFFF"/>
        <w:rPr>
          <w:rFonts w:eastAsia="Times New Roman"/>
          <w:lang w:eastAsia="en-GB"/>
        </w:rPr>
      </w:pPr>
      <w:r w:rsidRPr="00564AEE">
        <w:rPr>
          <w:rFonts w:eastAsia="Times New Roman"/>
          <w:bCs/>
          <w:lang w:val="en" w:eastAsia="en-GB"/>
        </w:rPr>
        <w:t>Securing investment that is currently sourced from the EU</w:t>
      </w:r>
    </w:p>
    <w:p w:rsidR="005B63A3" w:rsidRPr="00564AEE" w:rsidRDefault="005B63A3" w:rsidP="005B63A3">
      <w:pPr>
        <w:pStyle w:val="ListParagraph"/>
        <w:numPr>
          <w:ilvl w:val="1"/>
          <w:numId w:val="26"/>
        </w:numPr>
        <w:shd w:val="clear" w:color="auto" w:fill="FFFFFF"/>
        <w:rPr>
          <w:rFonts w:eastAsia="Times New Roman"/>
          <w:lang w:eastAsia="en-GB"/>
        </w:rPr>
      </w:pPr>
      <w:r w:rsidRPr="00564AEE">
        <w:rPr>
          <w:rFonts w:eastAsia="Times New Roman"/>
          <w:bCs/>
          <w:lang w:val="en" w:eastAsia="en-GB"/>
        </w:rPr>
        <w:t>Community cohesion</w:t>
      </w:r>
    </w:p>
    <w:p w:rsidR="005B63A3" w:rsidRPr="00564AEE" w:rsidRDefault="005B63A3" w:rsidP="005B63A3">
      <w:pPr>
        <w:pStyle w:val="ListParagraph"/>
        <w:numPr>
          <w:ilvl w:val="1"/>
          <w:numId w:val="26"/>
        </w:numPr>
        <w:shd w:val="clear" w:color="auto" w:fill="FFFFFF"/>
        <w:rPr>
          <w:rFonts w:eastAsia="Times New Roman"/>
          <w:lang w:eastAsia="en-GB"/>
        </w:rPr>
      </w:pPr>
      <w:r w:rsidRPr="00564AEE">
        <w:rPr>
          <w:rFonts w:eastAsia="Times New Roman"/>
          <w:bCs/>
          <w:lang w:val="en" w:eastAsia="en-GB"/>
        </w:rPr>
        <w:t>Addressing place-based impacts</w:t>
      </w:r>
    </w:p>
    <w:p w:rsidR="00A24BE9" w:rsidRPr="00564AEE" w:rsidRDefault="00A24BE9" w:rsidP="00A24BE9">
      <w:pPr>
        <w:pStyle w:val="ListParagraph"/>
        <w:shd w:val="clear" w:color="auto" w:fill="FFFFFF"/>
        <w:ind w:left="1440"/>
        <w:rPr>
          <w:rFonts w:eastAsia="Times New Roman"/>
          <w:lang w:eastAsia="en-GB"/>
        </w:rPr>
      </w:pPr>
    </w:p>
    <w:p w:rsidR="00A41ED3" w:rsidRPr="00564AEE" w:rsidRDefault="005B63A3" w:rsidP="00A24BE9">
      <w:pPr>
        <w:pStyle w:val="ListParagraph"/>
        <w:numPr>
          <w:ilvl w:val="0"/>
          <w:numId w:val="26"/>
        </w:numPr>
        <w:shd w:val="clear" w:color="auto" w:fill="FFFFFF"/>
        <w:rPr>
          <w:rFonts w:eastAsia="Times New Roman"/>
          <w:highlight w:val="yellow"/>
          <w:lang w:eastAsia="en-GB"/>
        </w:rPr>
      </w:pPr>
      <w:r w:rsidRPr="00564AEE">
        <w:rPr>
          <w:rFonts w:eastAsia="Times New Roman"/>
          <w:bCs/>
          <w:lang w:val="en" w:eastAsia="en-GB"/>
        </w:rPr>
        <w:t xml:space="preserve">The Council </w:t>
      </w:r>
      <w:proofErr w:type="gramStart"/>
      <w:r w:rsidRPr="00564AEE">
        <w:rPr>
          <w:rFonts w:eastAsia="Times New Roman"/>
          <w:bCs/>
          <w:lang w:val="en" w:eastAsia="en-GB"/>
        </w:rPr>
        <w:t>have</w:t>
      </w:r>
      <w:proofErr w:type="gramEnd"/>
      <w:r w:rsidRPr="00564AEE">
        <w:rPr>
          <w:rFonts w:eastAsia="Times New Roman"/>
          <w:bCs/>
          <w:lang w:val="en" w:eastAsia="en-GB"/>
        </w:rPr>
        <w:t xml:space="preserve"> provided information to the LGA </w:t>
      </w:r>
      <w:r w:rsidR="00FD044D" w:rsidRPr="00564AEE">
        <w:rPr>
          <w:rFonts w:eastAsia="Times New Roman"/>
          <w:bCs/>
          <w:lang w:val="en" w:eastAsia="en-GB"/>
        </w:rPr>
        <w:t>highlighting the implications for Oxford of exi</w:t>
      </w:r>
      <w:r w:rsidR="00A24BE9" w:rsidRPr="00564AEE">
        <w:rPr>
          <w:rFonts w:eastAsia="Times New Roman"/>
          <w:bCs/>
          <w:lang w:val="en" w:eastAsia="en-GB"/>
        </w:rPr>
        <w:t xml:space="preserve">ting the EU on the </w:t>
      </w:r>
      <w:proofErr w:type="spellStart"/>
      <w:r w:rsidR="00A24BE9" w:rsidRPr="00564AEE">
        <w:rPr>
          <w:rFonts w:eastAsia="Times New Roman"/>
          <w:bCs/>
          <w:lang w:val="en" w:eastAsia="en-GB"/>
        </w:rPr>
        <w:t>labour</w:t>
      </w:r>
      <w:proofErr w:type="spellEnd"/>
      <w:r w:rsidR="00A24BE9" w:rsidRPr="00564AEE">
        <w:rPr>
          <w:rFonts w:eastAsia="Times New Roman"/>
          <w:bCs/>
          <w:lang w:val="en" w:eastAsia="en-GB"/>
        </w:rPr>
        <w:t xml:space="preserve"> market and the impact on particular sectors. The paper concludes that </w:t>
      </w:r>
      <w:r w:rsidR="00A41ED3" w:rsidRPr="00564AEE">
        <w:t>Brexit brings specific risks to our major employers, and the city’s key sectors</w:t>
      </w:r>
      <w:r w:rsidR="00875DE3" w:rsidRPr="00564AEE">
        <w:t xml:space="preserve"> as with many other areas of the UK</w:t>
      </w:r>
      <w:r w:rsidR="00A41ED3" w:rsidRPr="00564AEE">
        <w:t>. Depending on the outcome of negotiations with the EU, the consequences could be damaging for growth and productivity, science and technology, and public services</w:t>
      </w:r>
      <w:r w:rsidR="00A24BE9" w:rsidRPr="00564AEE">
        <w:t>.</w:t>
      </w:r>
    </w:p>
    <w:p w:rsidR="005B63A3" w:rsidRPr="00564AEE" w:rsidRDefault="005B63A3" w:rsidP="005B63A3">
      <w:pPr>
        <w:shd w:val="clear" w:color="auto" w:fill="FFFFFF"/>
        <w:rPr>
          <w:rFonts w:eastAsia="Times New Roman"/>
          <w:lang w:eastAsia="en-GB"/>
        </w:rPr>
      </w:pPr>
    </w:p>
    <w:p w:rsidR="00BA11E2" w:rsidRPr="00564AEE" w:rsidRDefault="00FD044D" w:rsidP="005B63A3">
      <w:pPr>
        <w:shd w:val="clear" w:color="auto" w:fill="FFFFFF"/>
        <w:rPr>
          <w:rFonts w:eastAsia="Times New Roman"/>
          <w:lang w:eastAsia="en-GB"/>
        </w:rPr>
      </w:pPr>
      <w:r w:rsidRPr="00564AEE">
        <w:rPr>
          <w:rFonts w:eastAsia="Times New Roman"/>
          <w:lang w:eastAsia="en-GB"/>
        </w:rPr>
        <w:t xml:space="preserve">The impact on the City Council is currently limited in terms of recruitment issues, </w:t>
      </w:r>
      <w:r w:rsidR="00F62D10" w:rsidRPr="00564AEE">
        <w:rPr>
          <w:rFonts w:eastAsia="Times New Roman"/>
          <w:lang w:eastAsia="en-GB"/>
        </w:rPr>
        <w:t xml:space="preserve">key </w:t>
      </w:r>
      <w:r w:rsidRPr="00564AEE">
        <w:rPr>
          <w:rFonts w:eastAsia="Times New Roman"/>
          <w:lang w:eastAsia="en-GB"/>
        </w:rPr>
        <w:t xml:space="preserve">income streams and property funds although like most authorities the Council is suffering from depressed </w:t>
      </w:r>
      <w:r w:rsidR="005359FF" w:rsidRPr="00564AEE">
        <w:rPr>
          <w:rFonts w:eastAsia="Times New Roman"/>
          <w:lang w:eastAsia="en-GB"/>
        </w:rPr>
        <w:t xml:space="preserve">returns from investment over the last few years which are now showing signs of increase to pre Brexit levels. </w:t>
      </w:r>
      <w:r w:rsidR="00077FD4" w:rsidRPr="00564AEE">
        <w:rPr>
          <w:rFonts w:eastAsia="Times New Roman"/>
          <w:lang w:eastAsia="en-GB"/>
        </w:rPr>
        <w:t>Whilst PWLB borrowing rates are still relatively low</w:t>
      </w:r>
      <w:r w:rsidR="00875DE3" w:rsidRPr="00564AEE">
        <w:rPr>
          <w:rFonts w:eastAsia="Times New Roman"/>
          <w:lang w:eastAsia="en-GB"/>
        </w:rPr>
        <w:t>,</w:t>
      </w:r>
      <w:r w:rsidR="00077FD4" w:rsidRPr="00564AEE">
        <w:rPr>
          <w:rFonts w:eastAsia="Times New Roman"/>
          <w:lang w:eastAsia="en-GB"/>
        </w:rPr>
        <w:t xml:space="preserve"> should these rates increase post Brexit then the net returns from loans to the Housing Company will be lower, adversely impacting the Council</w:t>
      </w:r>
      <w:r w:rsidR="00AE42D3" w:rsidRPr="00564AEE">
        <w:rPr>
          <w:rFonts w:eastAsia="Times New Roman"/>
          <w:lang w:eastAsia="en-GB"/>
        </w:rPr>
        <w:t>’</w:t>
      </w:r>
      <w:r w:rsidR="00077FD4" w:rsidRPr="00564AEE">
        <w:rPr>
          <w:rFonts w:eastAsia="Times New Roman"/>
          <w:lang w:eastAsia="en-GB"/>
        </w:rPr>
        <w:t xml:space="preserve">s Medium Term Financial Plan. </w:t>
      </w:r>
    </w:p>
    <w:p w:rsidR="00BA11E2" w:rsidRPr="00564AEE" w:rsidRDefault="00BA11E2" w:rsidP="005B63A3">
      <w:pPr>
        <w:shd w:val="clear" w:color="auto" w:fill="FFFFFF"/>
        <w:rPr>
          <w:rFonts w:eastAsia="Times New Roman"/>
          <w:lang w:eastAsia="en-GB"/>
        </w:rPr>
      </w:pPr>
    </w:p>
    <w:p w:rsidR="00F62D10" w:rsidRPr="00564AEE" w:rsidRDefault="00077FD4" w:rsidP="005B63A3">
      <w:pPr>
        <w:shd w:val="clear" w:color="auto" w:fill="FFFFFF"/>
        <w:rPr>
          <w:rFonts w:eastAsia="Times New Roman"/>
          <w:lang w:eastAsia="en-GB"/>
        </w:rPr>
      </w:pPr>
      <w:r w:rsidRPr="00564AEE">
        <w:rPr>
          <w:rFonts w:eastAsia="Times New Roman"/>
          <w:lang w:eastAsia="en-GB"/>
        </w:rPr>
        <w:t xml:space="preserve">Given the total withdrawal of Revenue Support Grant from local </w:t>
      </w:r>
      <w:r w:rsidR="00F50E3B" w:rsidRPr="00564AEE">
        <w:rPr>
          <w:rFonts w:eastAsia="Times New Roman"/>
          <w:lang w:eastAsia="en-GB"/>
        </w:rPr>
        <w:t>authorities</w:t>
      </w:r>
      <w:r w:rsidRPr="00564AEE">
        <w:rPr>
          <w:rFonts w:eastAsia="Times New Roman"/>
          <w:lang w:eastAsia="en-GB"/>
        </w:rPr>
        <w:t xml:space="preserve"> by the Government from 1/4/2019 the reliance on business rates income is critical for local authorities. </w:t>
      </w:r>
      <w:r w:rsidR="00F50E3B" w:rsidRPr="00564AEE">
        <w:rPr>
          <w:rFonts w:eastAsia="Times New Roman"/>
          <w:lang w:eastAsia="en-GB"/>
        </w:rPr>
        <w:t>Uncertainty around t</w:t>
      </w:r>
      <w:r w:rsidRPr="00564AEE">
        <w:rPr>
          <w:rFonts w:eastAsia="Times New Roman"/>
          <w:lang w:eastAsia="en-GB"/>
        </w:rPr>
        <w:t xml:space="preserve">he proposed changes in the Business Rates retention methodology </w:t>
      </w:r>
      <w:r w:rsidR="00F50E3B" w:rsidRPr="00564AEE">
        <w:rPr>
          <w:rFonts w:eastAsia="Times New Roman"/>
          <w:lang w:eastAsia="en-GB"/>
        </w:rPr>
        <w:t>under the Government</w:t>
      </w:r>
      <w:r w:rsidR="00AE42D3" w:rsidRPr="00564AEE">
        <w:rPr>
          <w:rFonts w:eastAsia="Times New Roman"/>
          <w:lang w:eastAsia="en-GB"/>
        </w:rPr>
        <w:t>’</w:t>
      </w:r>
      <w:r w:rsidR="00F50E3B" w:rsidRPr="00564AEE">
        <w:rPr>
          <w:rFonts w:eastAsia="Times New Roman"/>
          <w:lang w:eastAsia="en-GB"/>
        </w:rPr>
        <w:t>s ‘fairer funding’ system is already a key risk for the authority</w:t>
      </w:r>
      <w:r w:rsidR="00AE42D3" w:rsidRPr="00564AEE">
        <w:rPr>
          <w:rFonts w:eastAsia="Times New Roman"/>
          <w:lang w:eastAsia="en-GB"/>
        </w:rPr>
        <w:t>. R</w:t>
      </w:r>
      <w:r w:rsidR="00F50E3B" w:rsidRPr="00564AEE">
        <w:rPr>
          <w:rFonts w:eastAsia="Times New Roman"/>
          <w:lang w:eastAsia="en-GB"/>
        </w:rPr>
        <w:t xml:space="preserve">ecent statements from major employers </w:t>
      </w:r>
      <w:r w:rsidR="00AE42D3" w:rsidRPr="00564AEE">
        <w:rPr>
          <w:rFonts w:eastAsia="Times New Roman"/>
          <w:lang w:eastAsia="en-GB"/>
        </w:rPr>
        <w:t xml:space="preserve">and significant </w:t>
      </w:r>
      <w:r w:rsidR="006450B8" w:rsidRPr="00564AEE">
        <w:rPr>
          <w:rFonts w:eastAsia="Times New Roman"/>
          <w:lang w:eastAsia="en-GB"/>
        </w:rPr>
        <w:t xml:space="preserve">Business Rates </w:t>
      </w:r>
      <w:proofErr w:type="spellStart"/>
      <w:r w:rsidR="00AE42D3" w:rsidRPr="00564AEE">
        <w:rPr>
          <w:rFonts w:eastAsia="Times New Roman"/>
          <w:lang w:eastAsia="en-GB"/>
        </w:rPr>
        <w:t>contibutors</w:t>
      </w:r>
      <w:proofErr w:type="spellEnd"/>
      <w:r w:rsidR="00AE42D3" w:rsidRPr="00564AEE">
        <w:rPr>
          <w:rFonts w:eastAsia="Times New Roman"/>
          <w:lang w:eastAsia="en-GB"/>
        </w:rPr>
        <w:t xml:space="preserve"> </w:t>
      </w:r>
      <w:r w:rsidR="00F50E3B" w:rsidRPr="00564AEE">
        <w:rPr>
          <w:rFonts w:eastAsia="Times New Roman"/>
          <w:lang w:eastAsia="en-GB"/>
        </w:rPr>
        <w:t>such as BMW and Unipart</w:t>
      </w:r>
      <w:r w:rsidR="006450B8" w:rsidRPr="00564AEE">
        <w:rPr>
          <w:rFonts w:eastAsia="Times New Roman"/>
          <w:lang w:eastAsia="en-GB"/>
        </w:rPr>
        <w:t>,</w:t>
      </w:r>
      <w:r w:rsidR="00F50E3B" w:rsidRPr="00564AEE">
        <w:rPr>
          <w:rFonts w:eastAsia="Times New Roman"/>
          <w:lang w:eastAsia="en-GB"/>
        </w:rPr>
        <w:t xml:space="preserve"> </w:t>
      </w:r>
      <w:r w:rsidR="00AE42D3" w:rsidRPr="00564AEE">
        <w:rPr>
          <w:rFonts w:eastAsia="Times New Roman"/>
          <w:lang w:eastAsia="en-GB"/>
        </w:rPr>
        <w:t>expressing concern over the lack of clarity over future trade arrangements</w:t>
      </w:r>
      <w:r w:rsidR="006450B8" w:rsidRPr="00564AEE">
        <w:rPr>
          <w:rFonts w:eastAsia="Times New Roman"/>
          <w:lang w:eastAsia="en-GB"/>
        </w:rPr>
        <w:t>,</w:t>
      </w:r>
      <w:r w:rsidR="00AE42D3" w:rsidRPr="00564AEE">
        <w:rPr>
          <w:rFonts w:eastAsia="Times New Roman"/>
          <w:lang w:eastAsia="en-GB"/>
        </w:rPr>
        <w:t xml:space="preserve"> </w:t>
      </w:r>
      <w:r w:rsidR="00F50E3B" w:rsidRPr="00564AEE">
        <w:rPr>
          <w:rFonts w:eastAsia="Times New Roman"/>
          <w:lang w:eastAsia="en-GB"/>
        </w:rPr>
        <w:t>add to th</w:t>
      </w:r>
      <w:r w:rsidR="00AE42D3" w:rsidRPr="00564AEE">
        <w:rPr>
          <w:rFonts w:eastAsia="Times New Roman"/>
          <w:lang w:eastAsia="en-GB"/>
        </w:rPr>
        <w:t>e uncertainty</w:t>
      </w:r>
      <w:r w:rsidR="006450B8" w:rsidRPr="00564AEE">
        <w:rPr>
          <w:rFonts w:eastAsia="Times New Roman"/>
          <w:lang w:eastAsia="en-GB"/>
        </w:rPr>
        <w:t xml:space="preserve">. </w:t>
      </w:r>
    </w:p>
    <w:p w:rsidR="00F62D10" w:rsidRPr="00564AEE" w:rsidRDefault="00F62D10" w:rsidP="005B63A3">
      <w:pPr>
        <w:shd w:val="clear" w:color="auto" w:fill="FFFFFF"/>
        <w:rPr>
          <w:rFonts w:eastAsia="Times New Roman"/>
          <w:lang w:eastAsia="en-GB"/>
        </w:rPr>
      </w:pPr>
    </w:p>
    <w:p w:rsidR="006450B8" w:rsidRPr="00564AEE" w:rsidRDefault="00F62D10" w:rsidP="005B63A3">
      <w:pPr>
        <w:shd w:val="clear" w:color="auto" w:fill="FFFFFF"/>
        <w:rPr>
          <w:rFonts w:eastAsia="Times New Roman"/>
          <w:lang w:eastAsia="en-GB"/>
        </w:rPr>
      </w:pPr>
      <w:r w:rsidRPr="00564AEE">
        <w:rPr>
          <w:rFonts w:eastAsia="Times New Roman"/>
          <w:lang w:eastAsia="en-GB"/>
        </w:rPr>
        <w:t>In summary whilst there is still a lot to be negotiated, there are still a number of issues and concerns for the country, local Government, Oxford</w:t>
      </w:r>
      <w:r w:rsidR="006450B8" w:rsidRPr="00564AEE">
        <w:rPr>
          <w:rFonts w:eastAsia="Times New Roman"/>
          <w:lang w:eastAsia="en-GB"/>
        </w:rPr>
        <w:t>shire</w:t>
      </w:r>
      <w:r w:rsidRPr="00564AEE">
        <w:rPr>
          <w:rFonts w:eastAsia="Times New Roman"/>
          <w:lang w:eastAsia="en-GB"/>
        </w:rPr>
        <w:t xml:space="preserve"> and Oxford City Council although at this stage </w:t>
      </w:r>
      <w:r w:rsidR="00BA11E2" w:rsidRPr="00564AEE">
        <w:rPr>
          <w:rFonts w:eastAsia="Times New Roman"/>
          <w:lang w:eastAsia="en-GB"/>
        </w:rPr>
        <w:t xml:space="preserve">these are </w:t>
      </w:r>
      <w:r w:rsidRPr="00564AEE">
        <w:rPr>
          <w:rFonts w:eastAsia="Times New Roman"/>
          <w:lang w:eastAsia="en-GB"/>
        </w:rPr>
        <w:t>still too early to quantify.</w:t>
      </w:r>
      <w:r w:rsidR="00F50E3B" w:rsidRPr="00564AEE">
        <w:rPr>
          <w:rFonts w:eastAsia="Times New Roman"/>
          <w:lang w:eastAsia="en-GB"/>
        </w:rPr>
        <w:t xml:space="preserve"> </w:t>
      </w:r>
      <w:r w:rsidR="00F755F8" w:rsidRPr="00564AEE">
        <w:rPr>
          <w:rFonts w:eastAsia="Times New Roman"/>
          <w:lang w:eastAsia="en-GB"/>
        </w:rPr>
        <w:t xml:space="preserve"> </w:t>
      </w:r>
      <w:r w:rsidR="00DD4244" w:rsidRPr="00564AEE">
        <w:rPr>
          <w:rFonts w:eastAsia="Times New Roman"/>
          <w:lang w:eastAsia="en-GB"/>
        </w:rPr>
        <w:t>However</w:t>
      </w:r>
      <w:r w:rsidR="006450B8" w:rsidRPr="00564AEE">
        <w:rPr>
          <w:rFonts w:eastAsia="Times New Roman"/>
          <w:lang w:eastAsia="en-GB"/>
        </w:rPr>
        <w:t xml:space="preserve">, the Government’s award of the £215 million Oxfordshire Housing &amp; Growth Deal earlier this year, and its commitment to the proposed Oxford-Cambridge Growth Corridor </w:t>
      </w:r>
      <w:r w:rsidR="00DD4244" w:rsidRPr="00564AEE">
        <w:rPr>
          <w:rFonts w:eastAsia="Times New Roman"/>
          <w:lang w:eastAsia="en-GB"/>
        </w:rPr>
        <w:t>potentially offers si</w:t>
      </w:r>
      <w:r w:rsidR="006450B8" w:rsidRPr="00564AEE">
        <w:rPr>
          <w:rFonts w:eastAsia="Times New Roman"/>
          <w:lang w:eastAsia="en-GB"/>
        </w:rPr>
        <w:t>gnificant mitigation going forwards. With two leading universities and many internationally significant knowledge intensive industries based in and around Oxford, the Government has stated its ambition to create a rival to ‘Silicon Valley’ here and across the arc to Cambridge.</w:t>
      </w:r>
    </w:p>
    <w:p w:rsidR="005B63A3" w:rsidRPr="00564AEE" w:rsidRDefault="005B63A3" w:rsidP="005B63A3">
      <w:pPr>
        <w:shd w:val="clear" w:color="auto" w:fill="FFFFFF"/>
        <w:rPr>
          <w:rFonts w:eastAsia="Times New Roman"/>
          <w:lang w:eastAsia="en-GB"/>
        </w:rPr>
      </w:pPr>
    </w:p>
    <w:p w:rsidR="00966207" w:rsidRPr="00564AEE" w:rsidRDefault="00966207" w:rsidP="00AC00EE"/>
    <w:p w:rsidR="001E74F9" w:rsidRPr="00564AEE" w:rsidRDefault="00BA11E2" w:rsidP="00BA11E2">
      <w:pPr>
        <w:rPr>
          <w:b/>
        </w:rPr>
      </w:pPr>
      <w:r w:rsidRPr="00564AEE">
        <w:rPr>
          <w:b/>
        </w:rPr>
        <w:t xml:space="preserve">The </w:t>
      </w:r>
      <w:r w:rsidR="001E74F9" w:rsidRPr="00564AEE">
        <w:rPr>
          <w:b/>
        </w:rPr>
        <w:t>story so Far</w:t>
      </w:r>
    </w:p>
    <w:p w:rsidR="001E74F9" w:rsidRPr="00564AEE" w:rsidRDefault="001E74F9" w:rsidP="001E74F9">
      <w:r w:rsidRPr="00564AEE">
        <w:t xml:space="preserve">Following the triggering of </w:t>
      </w:r>
      <w:r w:rsidR="000A4D2D" w:rsidRPr="00564AEE">
        <w:t>Article</w:t>
      </w:r>
      <w:r w:rsidRPr="00564AEE">
        <w:t xml:space="preserve"> 50 the Government officially opened negotiations with the EU on 19</w:t>
      </w:r>
      <w:r w:rsidRPr="00564AEE">
        <w:rPr>
          <w:vertAlign w:val="superscript"/>
        </w:rPr>
        <w:t>th</w:t>
      </w:r>
      <w:r w:rsidRPr="00564AEE">
        <w:t xml:space="preserve"> June 2017. </w:t>
      </w:r>
    </w:p>
    <w:p w:rsidR="001E74F9" w:rsidRPr="00564AEE" w:rsidRDefault="001E74F9" w:rsidP="001E74F9"/>
    <w:p w:rsidR="00D800D6" w:rsidRPr="00564AEE" w:rsidRDefault="00D800D6" w:rsidP="001E74F9">
      <w:r w:rsidRPr="00564AEE">
        <w:t xml:space="preserve">In December 2017 </w:t>
      </w:r>
      <w:r w:rsidR="009E68D0" w:rsidRPr="00564AEE">
        <w:t>th</w:t>
      </w:r>
      <w:r w:rsidR="00404F07" w:rsidRPr="00564AEE">
        <w:t>e UK and EU provisionally agreed on the</w:t>
      </w:r>
      <w:r w:rsidR="008D1D79" w:rsidRPr="00564AEE">
        <w:t xml:space="preserve"> main</w:t>
      </w:r>
      <w:r w:rsidR="00404F07" w:rsidRPr="00564AEE">
        <w:t xml:space="preserve"> three "divorce" issues</w:t>
      </w:r>
      <w:r w:rsidR="008D1D79" w:rsidRPr="00564AEE">
        <w:t xml:space="preserve">. Although these </w:t>
      </w:r>
      <w:r w:rsidR="00BA11E2" w:rsidRPr="00564AEE">
        <w:t xml:space="preserve">issues </w:t>
      </w:r>
      <w:r w:rsidR="008D1D79" w:rsidRPr="00564AEE">
        <w:t>have not been complete</w:t>
      </w:r>
      <w:r w:rsidR="00BA11E2" w:rsidRPr="00564AEE">
        <w:t>ly</w:t>
      </w:r>
      <w:r w:rsidR="008D1D79" w:rsidRPr="00564AEE">
        <w:t xml:space="preserve"> agreed both </w:t>
      </w:r>
      <w:r w:rsidR="00BA11E2" w:rsidRPr="00564AEE">
        <w:t xml:space="preserve">parties </w:t>
      </w:r>
      <w:r w:rsidR="008D1D79" w:rsidRPr="00564AEE">
        <w:t xml:space="preserve">agreed that sufficient progress had been made to enable negotiations to move on. In summary the position agreed </w:t>
      </w:r>
      <w:proofErr w:type="gramStart"/>
      <w:r w:rsidR="008D1D79" w:rsidRPr="00564AEE">
        <w:t>was :</w:t>
      </w:r>
      <w:proofErr w:type="gramEnd"/>
      <w:r w:rsidR="00404F07" w:rsidRPr="00564AEE">
        <w:t xml:space="preserve"> </w:t>
      </w:r>
    </w:p>
    <w:p w:rsidR="00D800D6" w:rsidRPr="00564AEE" w:rsidRDefault="00D800D6" w:rsidP="001E74F9"/>
    <w:p w:rsidR="00D800D6" w:rsidRPr="00D800D6" w:rsidRDefault="00D800D6" w:rsidP="00D800D6">
      <w:pPr>
        <w:pStyle w:val="Heading2"/>
        <w:numPr>
          <w:ilvl w:val="0"/>
          <w:numId w:val="21"/>
        </w:numPr>
        <w:rPr>
          <w:rFonts w:ascii="Arial" w:eastAsia="Times New Roman" w:hAnsi="Arial" w:cs="Arial"/>
          <w:b w:val="0"/>
          <w:color w:val="auto"/>
          <w:sz w:val="24"/>
          <w:szCs w:val="24"/>
          <w:lang w:val="en" w:eastAsia="en-GB"/>
        </w:rPr>
      </w:pPr>
      <w:r w:rsidRPr="008D1D79">
        <w:rPr>
          <w:rFonts w:ascii="Arial" w:hAnsi="Arial" w:cs="Arial"/>
          <w:color w:val="auto"/>
          <w:sz w:val="24"/>
          <w:szCs w:val="24"/>
        </w:rPr>
        <w:t>H</w:t>
      </w:r>
      <w:r w:rsidR="00404F07" w:rsidRPr="008D1D79">
        <w:rPr>
          <w:rFonts w:ascii="Arial" w:hAnsi="Arial" w:cs="Arial"/>
          <w:color w:val="auto"/>
          <w:sz w:val="24"/>
          <w:szCs w:val="24"/>
        </w:rPr>
        <w:t>ow much the UK owes the EU</w:t>
      </w:r>
      <w:r w:rsidRPr="00D800D6">
        <w:rPr>
          <w:rFonts w:ascii="Arial" w:hAnsi="Arial" w:cs="Arial"/>
          <w:b w:val="0"/>
          <w:color w:val="auto"/>
          <w:sz w:val="24"/>
          <w:szCs w:val="24"/>
        </w:rPr>
        <w:t xml:space="preserve"> -</w:t>
      </w:r>
      <w:r w:rsidRPr="00D800D6">
        <w:rPr>
          <w:rFonts w:ascii="Arial" w:eastAsia="Times New Roman" w:hAnsi="Arial" w:cs="Arial"/>
          <w:b w:val="0"/>
          <w:color w:val="auto"/>
          <w:sz w:val="24"/>
          <w:szCs w:val="24"/>
          <w:lang w:val="en" w:eastAsia="en-GB"/>
        </w:rPr>
        <w:t xml:space="preserve"> The deal in December did not contain an exact figure, though at the time, UK officials estimated a </w:t>
      </w:r>
      <w:hyperlink r:id="rId9" w:tgtFrame="_blank" w:history="1">
        <w:r w:rsidRPr="00D800D6">
          <w:rPr>
            <w:rFonts w:ascii="Arial" w:eastAsia="Times New Roman" w:hAnsi="Arial" w:cs="Arial"/>
            <w:b w:val="0"/>
            <w:color w:val="auto"/>
            <w:sz w:val="24"/>
            <w:szCs w:val="24"/>
            <w:lang w:val="en" w:eastAsia="en-GB"/>
          </w:rPr>
          <w:t>potential bill of £35–39 billion</w:t>
        </w:r>
      </w:hyperlink>
      <w:r w:rsidRPr="00D800D6">
        <w:rPr>
          <w:rFonts w:ascii="Arial" w:eastAsia="Times New Roman" w:hAnsi="Arial" w:cs="Arial"/>
          <w:b w:val="0"/>
          <w:color w:val="auto"/>
          <w:sz w:val="24"/>
          <w:szCs w:val="24"/>
          <w:lang w:val="en" w:eastAsia="en-GB"/>
        </w:rPr>
        <w:t> (</w:t>
      </w:r>
      <w:proofErr w:type="spellStart"/>
      <w:r w:rsidRPr="00D800D6">
        <w:rPr>
          <w:rFonts w:ascii="Arial" w:eastAsia="Times New Roman" w:hAnsi="Arial" w:cs="Arial"/>
          <w:b w:val="0"/>
          <w:color w:val="auto"/>
          <w:sz w:val="24"/>
          <w:szCs w:val="24"/>
          <w:lang w:val="en" w:eastAsia="en-GB"/>
        </w:rPr>
        <w:t>bn</w:t>
      </w:r>
      <w:proofErr w:type="spellEnd"/>
      <w:r w:rsidRPr="00D800D6">
        <w:rPr>
          <w:rFonts w:ascii="Arial" w:eastAsia="Times New Roman" w:hAnsi="Arial" w:cs="Arial"/>
          <w:b w:val="0"/>
          <w:color w:val="auto"/>
          <w:sz w:val="24"/>
          <w:szCs w:val="24"/>
          <w:lang w:val="en" w:eastAsia="en-GB"/>
        </w:rPr>
        <w:t xml:space="preserve">). The UK’s Office for Budget Responsibility (OBR) set out detailed estimates of what the UK would pay in its </w:t>
      </w:r>
      <w:hyperlink r:id="rId10" w:tgtFrame="_blank" w:history="1">
        <w:r w:rsidRPr="00D800D6">
          <w:rPr>
            <w:rFonts w:ascii="Arial" w:eastAsia="Times New Roman" w:hAnsi="Arial" w:cs="Arial"/>
            <w:b w:val="0"/>
            <w:color w:val="auto"/>
            <w:sz w:val="24"/>
            <w:szCs w:val="24"/>
            <w:lang w:val="en" w:eastAsia="en-GB"/>
          </w:rPr>
          <w:t>Economic and Fiscal Outlook report</w:t>
        </w:r>
      </w:hyperlink>
      <w:r w:rsidRPr="00D800D6">
        <w:rPr>
          <w:rFonts w:ascii="Arial" w:eastAsia="Times New Roman" w:hAnsi="Arial" w:cs="Arial"/>
          <w:b w:val="0"/>
          <w:color w:val="auto"/>
          <w:sz w:val="24"/>
          <w:szCs w:val="24"/>
          <w:lang w:val="en" w:eastAsia="en-GB"/>
        </w:rPr>
        <w:t>, published alongside the Chancellor’s Spring Statement. That set out a total bill of €41.4bn (£37.1bn), extending out to 2064 as pension liabilities fall due.</w:t>
      </w:r>
    </w:p>
    <w:p w:rsidR="00D800D6" w:rsidRPr="00D800D6" w:rsidRDefault="00D800D6" w:rsidP="00D800D6">
      <w:pPr>
        <w:pStyle w:val="ListParagraph"/>
        <w:numPr>
          <w:ilvl w:val="0"/>
          <w:numId w:val="21"/>
        </w:numPr>
        <w:rPr>
          <w:color w:val="000000"/>
        </w:rPr>
      </w:pPr>
      <w:r w:rsidRPr="008D1D79">
        <w:rPr>
          <w:b/>
          <w:color w:val="000000"/>
        </w:rPr>
        <w:t>What happens to EU citizens living in the UK</w:t>
      </w:r>
      <w:r w:rsidRPr="00D800D6">
        <w:rPr>
          <w:color w:val="000000"/>
        </w:rPr>
        <w:t xml:space="preserve"> - Around 3.6 million EU Nationals currently live in the UK including 600,000 chi</w:t>
      </w:r>
      <w:r w:rsidR="008D1D79">
        <w:rPr>
          <w:color w:val="000000"/>
        </w:rPr>
        <w:t>l</w:t>
      </w:r>
      <w:r w:rsidRPr="00D800D6">
        <w:rPr>
          <w:color w:val="000000"/>
        </w:rPr>
        <w:t xml:space="preserve">dren. </w:t>
      </w:r>
      <w:r>
        <w:rPr>
          <w:color w:val="000000"/>
        </w:rPr>
        <w:t>It has been c</w:t>
      </w:r>
      <w:r w:rsidRPr="00D800D6">
        <w:rPr>
          <w:color w:val="000000"/>
        </w:rPr>
        <w:t>onfirmed that all EU nationals currently her</w:t>
      </w:r>
      <w:r>
        <w:rPr>
          <w:color w:val="000000"/>
        </w:rPr>
        <w:t>e</w:t>
      </w:r>
      <w:r w:rsidRPr="00D800D6">
        <w:rPr>
          <w:color w:val="000000"/>
        </w:rPr>
        <w:t xml:space="preserve"> will get settled status and stay here indefinitely. EU Nationals arriving after March 2019 would be given </w:t>
      </w:r>
      <w:r w:rsidRPr="00D800D6">
        <w:rPr>
          <w:color w:val="000000"/>
        </w:rPr>
        <w:lastRenderedPageBreak/>
        <w:t>temporary stat</w:t>
      </w:r>
      <w:r>
        <w:rPr>
          <w:color w:val="000000"/>
        </w:rPr>
        <w:t>u</w:t>
      </w:r>
      <w:r w:rsidRPr="00D800D6">
        <w:rPr>
          <w:color w:val="000000"/>
        </w:rPr>
        <w:t>s allowing them to stay beyond the transition phase. They wil</w:t>
      </w:r>
      <w:r>
        <w:rPr>
          <w:color w:val="000000"/>
        </w:rPr>
        <w:t>l</w:t>
      </w:r>
      <w:r w:rsidRPr="00D800D6">
        <w:rPr>
          <w:color w:val="000000"/>
        </w:rPr>
        <w:t xml:space="preserve"> then be given 5 years to apply for indefinite </w:t>
      </w:r>
      <w:r>
        <w:rPr>
          <w:color w:val="000000"/>
        </w:rPr>
        <w:t xml:space="preserve">leave </w:t>
      </w:r>
      <w:r w:rsidRPr="00D800D6">
        <w:rPr>
          <w:color w:val="000000"/>
        </w:rPr>
        <w:t>to remain</w:t>
      </w:r>
      <w:r w:rsidR="00BA11E2">
        <w:rPr>
          <w:color w:val="000000"/>
        </w:rPr>
        <w:t>.</w:t>
      </w:r>
    </w:p>
    <w:p w:rsidR="008D1D79" w:rsidRPr="00564AEE" w:rsidRDefault="00404F07" w:rsidP="00D800D6">
      <w:pPr>
        <w:pStyle w:val="ListParagraph"/>
        <w:numPr>
          <w:ilvl w:val="0"/>
          <w:numId w:val="19"/>
        </w:numPr>
        <w:ind w:left="709" w:hanging="283"/>
      </w:pPr>
      <w:r w:rsidRPr="00D800D6">
        <w:rPr>
          <w:color w:val="404040"/>
        </w:rPr>
        <w:t xml:space="preserve"> </w:t>
      </w:r>
      <w:r w:rsidR="009456CF">
        <w:rPr>
          <w:b/>
          <w:color w:val="404040"/>
        </w:rPr>
        <w:t>W</w:t>
      </w:r>
      <w:r w:rsidRPr="00D800D6">
        <w:rPr>
          <w:b/>
          <w:color w:val="404040"/>
        </w:rPr>
        <w:t>hat happens to the Northern Ireland border</w:t>
      </w:r>
      <w:r w:rsidRPr="00D800D6">
        <w:rPr>
          <w:color w:val="404040"/>
        </w:rPr>
        <w:t xml:space="preserve"> </w:t>
      </w:r>
      <w:r w:rsidR="008D1D79">
        <w:rPr>
          <w:color w:val="404040"/>
        </w:rPr>
        <w:t xml:space="preserve">– Although the UK is committed to stop </w:t>
      </w:r>
      <w:r w:rsidR="008D1D79" w:rsidRPr="00564AEE">
        <w:t>participating in the Customs Union and Single market by March 2019 Dublin wish to remain in both. I</w:t>
      </w:r>
      <w:r w:rsidR="008D1D79" w:rsidRPr="00564AEE">
        <w:rPr>
          <w:lang w:val="en"/>
        </w:rPr>
        <w:t>f British negotiators fail to come up with a means of avoiding a hard border between Northern Ireland and the Republic, then the UK "will maintain full alignment with those rules of the Internal Market and the Customs Union."</w:t>
      </w:r>
      <w:r w:rsidR="008D1D79" w:rsidRPr="00564AEE">
        <w:t xml:space="preserve"> </w:t>
      </w:r>
    </w:p>
    <w:p w:rsidR="00BA11E2" w:rsidRPr="00564AEE" w:rsidRDefault="00BA11E2" w:rsidP="001E74F9">
      <w:pPr>
        <w:rPr>
          <w:b/>
        </w:rPr>
      </w:pPr>
    </w:p>
    <w:p w:rsidR="00404F07" w:rsidRPr="00564AEE" w:rsidRDefault="00404F07" w:rsidP="001E74F9">
      <w:pPr>
        <w:rPr>
          <w:b/>
        </w:rPr>
      </w:pPr>
      <w:r w:rsidRPr="00564AEE">
        <w:rPr>
          <w:b/>
        </w:rPr>
        <w:t>Transition Period</w:t>
      </w:r>
    </w:p>
    <w:p w:rsidR="00404F07" w:rsidRPr="00564AEE" w:rsidRDefault="0044333F" w:rsidP="001E74F9">
      <w:r w:rsidRPr="00564AEE">
        <w:t xml:space="preserve">In recent developments agreement has been reached on the Transition Period a period </w:t>
      </w:r>
      <w:r w:rsidR="00404F07" w:rsidRPr="00564AEE">
        <w:t>of time after 29 March, 2019, to 31 December, 2020, to get everything in place and allow businesses and others to prepare for the moment when the new post-Brexit rules between the UK and the EU begin. It also allows more time for the details of the new relationship to be fully hammered out. Free movement will continue during the transition period, as the EU wanted. The UK will be able to strike its own trade deals - although they won't be able to come into force until 1 January 2021.</w:t>
      </w:r>
    </w:p>
    <w:p w:rsidR="00FB13BA" w:rsidRPr="00564AEE" w:rsidRDefault="00FB13BA" w:rsidP="001E74F9"/>
    <w:p w:rsidR="0044333F" w:rsidRPr="00564AEE" w:rsidRDefault="00FB13BA" w:rsidP="001E74F9">
      <w:pPr>
        <w:rPr>
          <w:b/>
        </w:rPr>
      </w:pPr>
      <w:r w:rsidRPr="00564AEE">
        <w:rPr>
          <w:b/>
        </w:rPr>
        <w:t>Impacts of Exiting Customs Union and Single Market</w:t>
      </w:r>
    </w:p>
    <w:p w:rsidR="0055327E" w:rsidRPr="00564AEE" w:rsidRDefault="0055327E" w:rsidP="001E74F9">
      <w:pPr>
        <w:rPr>
          <w:b/>
        </w:rPr>
      </w:pPr>
    </w:p>
    <w:p w:rsidR="00582EB1" w:rsidRPr="00564AEE" w:rsidRDefault="0055327E" w:rsidP="0055327E">
      <w:pPr>
        <w:pStyle w:val="NoSpacing"/>
        <w:rPr>
          <w:b/>
          <w:lang w:eastAsia="en-GB"/>
        </w:rPr>
      </w:pPr>
      <w:r w:rsidRPr="00564AEE">
        <w:rPr>
          <w:b/>
          <w:lang w:eastAsia="en-GB"/>
        </w:rPr>
        <w:t>T</w:t>
      </w:r>
      <w:r w:rsidR="00582EB1" w:rsidRPr="00564AEE">
        <w:rPr>
          <w:b/>
          <w:lang w:eastAsia="en-GB"/>
        </w:rPr>
        <w:t>he Single Market</w:t>
      </w:r>
    </w:p>
    <w:p w:rsidR="00582EB1" w:rsidRPr="00A50C62" w:rsidRDefault="00582EB1" w:rsidP="0055327E">
      <w:pPr>
        <w:pStyle w:val="NoSpacing"/>
        <w:rPr>
          <w:lang w:eastAsia="en-GB"/>
        </w:rPr>
      </w:pPr>
      <w:r w:rsidRPr="00564AEE">
        <w:rPr>
          <w:lang w:val="en"/>
        </w:rPr>
        <w:t xml:space="preserve">The Single Market provides direct access to around 450 </w:t>
      </w:r>
      <w:r w:rsidRPr="00A50C62">
        <w:rPr>
          <w:color w:val="333333"/>
          <w:lang w:val="en"/>
        </w:rPr>
        <w:t>million customers with the lowest possible barriers. Members</w:t>
      </w:r>
      <w:r w:rsidRPr="009E68D0">
        <w:rPr>
          <w:lang w:eastAsia="en-GB"/>
        </w:rPr>
        <w:t xml:space="preserve"> can be in the EU's Single Market, but not the EU, this is what Norway, Iceland and Liechtenstein do. The European Union's single market is perhaps the most ambitious type of trade co-operation. That's because as well as eliminating tariffs, quotas or taxes on trade, it also includes the free movement of goods, services, capital and people.</w:t>
      </w:r>
      <w:r w:rsidR="00A50C62">
        <w:rPr>
          <w:lang w:eastAsia="en-GB"/>
        </w:rPr>
        <w:t xml:space="preserve"> </w:t>
      </w:r>
      <w:r w:rsidRPr="009E68D0">
        <w:rPr>
          <w:lang w:eastAsia="en-GB"/>
        </w:rPr>
        <w:t>Also, a single market strives to remove so-called "non-tariff barriers" - different rules on packaging, safety and standards and many others are abolished and the same rules and regulations apply across the area.</w:t>
      </w:r>
    </w:p>
    <w:p w:rsidR="00A50C62" w:rsidRPr="00564AEE" w:rsidRDefault="00A50C62" w:rsidP="00A50C62">
      <w:pPr>
        <w:shd w:val="clear" w:color="auto" w:fill="FFFFFF"/>
        <w:spacing w:before="240" w:after="100" w:afterAutospacing="1"/>
        <w:rPr>
          <w:rFonts w:eastAsia="Times New Roman"/>
          <w:highlight w:val="yellow"/>
          <w:lang w:eastAsia="en-GB"/>
        </w:rPr>
      </w:pPr>
      <w:r w:rsidRPr="00564AEE">
        <w:rPr>
          <w:lang w:val="en"/>
        </w:rPr>
        <w:t xml:space="preserve">Leaving the Single Market would remove </w:t>
      </w:r>
      <w:r w:rsidR="00C21888" w:rsidRPr="00564AEE">
        <w:rPr>
          <w:lang w:val="en"/>
        </w:rPr>
        <w:t>the UK</w:t>
      </w:r>
      <w:r w:rsidRPr="00564AEE">
        <w:rPr>
          <w:lang w:val="en"/>
        </w:rPr>
        <w:t xml:space="preserve"> from EU </w:t>
      </w:r>
      <w:r w:rsidR="003F51F1" w:rsidRPr="00564AEE">
        <w:rPr>
          <w:lang w:val="en"/>
        </w:rPr>
        <w:t>jurisdiction</w:t>
      </w:r>
      <w:r w:rsidRPr="00564AEE">
        <w:rPr>
          <w:lang w:val="en"/>
        </w:rPr>
        <w:t xml:space="preserve"> and allow </w:t>
      </w:r>
      <w:r w:rsidR="00C21888" w:rsidRPr="00564AEE">
        <w:rPr>
          <w:lang w:val="en"/>
        </w:rPr>
        <w:t>it</w:t>
      </w:r>
      <w:r w:rsidRPr="00564AEE">
        <w:rPr>
          <w:lang w:val="en"/>
        </w:rPr>
        <w:t xml:space="preserve"> to sign trade deals without interference with other countries.</w:t>
      </w:r>
    </w:p>
    <w:p w:rsidR="0044333F" w:rsidRPr="00564AEE" w:rsidRDefault="00582EB1" w:rsidP="0055327E">
      <w:pPr>
        <w:pStyle w:val="NoSpacing"/>
        <w:rPr>
          <w:b/>
        </w:rPr>
      </w:pPr>
      <w:r w:rsidRPr="00564AEE">
        <w:rPr>
          <w:b/>
        </w:rPr>
        <w:t>Customs Union</w:t>
      </w:r>
    </w:p>
    <w:p w:rsidR="003F51F1" w:rsidRPr="00564AEE" w:rsidRDefault="001E4E5F" w:rsidP="0055327E">
      <w:pPr>
        <w:pStyle w:val="NoSpacing"/>
        <w:rPr>
          <w:rFonts w:eastAsia="Times New Roman"/>
          <w:lang w:eastAsia="en-GB"/>
        </w:rPr>
      </w:pPr>
      <w:r w:rsidRPr="00564AEE">
        <w:rPr>
          <w:rFonts w:eastAsia="Times New Roman"/>
          <w:lang w:eastAsia="en-GB"/>
        </w:rPr>
        <w:t>In a Customs Union t</w:t>
      </w:r>
      <w:r w:rsidR="00A50C62" w:rsidRPr="00564AEE">
        <w:rPr>
          <w:rFonts w:eastAsia="Times New Roman"/>
          <w:lang w:eastAsia="en-GB"/>
        </w:rPr>
        <w:t>he countries club together and agree to apply the same tariffs to goods from outside the union. Once goods have cleared customs in one country, they can be shipped to others in the union without further tariffs being imposed.</w:t>
      </w:r>
      <w:r w:rsidR="003F51F1" w:rsidRPr="00564AEE">
        <w:rPr>
          <w:rFonts w:eastAsia="Times New Roman"/>
          <w:lang w:eastAsia="en-GB"/>
        </w:rPr>
        <w:t xml:space="preserve"> Turkey is part of a customs union with the EU but not in the single market. The deal does not cover food or agriculture, services or government procurement.</w:t>
      </w:r>
      <w:r w:rsidR="00A50C62" w:rsidRPr="00564AEE">
        <w:rPr>
          <w:rFonts w:eastAsia="Times New Roman"/>
          <w:lang w:eastAsia="en-GB"/>
        </w:rPr>
        <w:t xml:space="preserve"> </w:t>
      </w:r>
    </w:p>
    <w:p w:rsidR="00A50C62" w:rsidRPr="00564AEE" w:rsidRDefault="00A50C62" w:rsidP="00A50C62">
      <w:pPr>
        <w:shd w:val="clear" w:color="auto" w:fill="FFFFFF"/>
        <w:spacing w:before="240" w:after="100" w:afterAutospacing="1"/>
        <w:rPr>
          <w:rFonts w:eastAsia="Times New Roman"/>
          <w:lang w:eastAsia="en-GB"/>
        </w:rPr>
      </w:pPr>
      <w:r w:rsidRPr="00564AEE">
        <w:rPr>
          <w:rFonts w:eastAsia="Times New Roman"/>
          <w:lang w:eastAsia="en-GB"/>
        </w:rPr>
        <w:t>If the UK left the Customs Union but stayed in the Single market, our exporters would have to contend with what are called 'rules of origin'. These rules are designed to demonstrate that goods that legally originated in the UK - and did not contain more than the maximum permitted level of parts and components from elsewhere - qualify for duty-free entry into the EU</w:t>
      </w:r>
      <w:r w:rsidR="00F755F8" w:rsidRPr="00564AEE">
        <w:rPr>
          <w:rFonts w:eastAsia="Times New Roman"/>
          <w:lang w:eastAsia="en-GB"/>
        </w:rPr>
        <w:t>.</w:t>
      </w:r>
    </w:p>
    <w:p w:rsidR="0044333F" w:rsidRPr="00564AEE" w:rsidRDefault="003F51F1" w:rsidP="001E74F9">
      <w:r w:rsidRPr="00564AEE">
        <w:t>Membership of the customs union would ensure goods were not subject to import tariffs or, probably more importantly, to checks that they met EU standards.</w:t>
      </w:r>
    </w:p>
    <w:p w:rsidR="0044333F" w:rsidRDefault="0044333F" w:rsidP="001E74F9">
      <w:pPr>
        <w:rPr>
          <w:color w:val="000000"/>
        </w:rPr>
      </w:pPr>
    </w:p>
    <w:p w:rsidR="0044333F" w:rsidRPr="00E928FA" w:rsidRDefault="00E928FA" w:rsidP="001E74F9">
      <w:pPr>
        <w:rPr>
          <w:b/>
          <w:color w:val="000000"/>
        </w:rPr>
      </w:pPr>
      <w:r w:rsidRPr="00E928FA">
        <w:rPr>
          <w:b/>
          <w:color w:val="000000"/>
        </w:rPr>
        <w:t xml:space="preserve">Exiting Single Market and Customs Unions </w:t>
      </w:r>
      <w:r w:rsidR="003F51F1" w:rsidRPr="00E928FA">
        <w:rPr>
          <w:b/>
          <w:color w:val="000000"/>
        </w:rPr>
        <w:t xml:space="preserve">Implications for </w:t>
      </w:r>
      <w:r w:rsidRPr="00E928FA">
        <w:rPr>
          <w:b/>
          <w:color w:val="000000"/>
        </w:rPr>
        <w:t>UK Business</w:t>
      </w:r>
    </w:p>
    <w:p w:rsidR="003F51F1" w:rsidRDefault="003F51F1" w:rsidP="001E74F9">
      <w:pPr>
        <w:rPr>
          <w:color w:val="000000"/>
        </w:rPr>
      </w:pPr>
    </w:p>
    <w:p w:rsidR="00404F07" w:rsidRDefault="003F51F1" w:rsidP="001E74F9">
      <w:pPr>
        <w:rPr>
          <w:color w:val="000000"/>
        </w:rPr>
      </w:pPr>
      <w:r>
        <w:rPr>
          <w:color w:val="000000"/>
        </w:rPr>
        <w:t xml:space="preserve">In recent </w:t>
      </w:r>
      <w:r w:rsidR="0055327E">
        <w:rPr>
          <w:color w:val="000000"/>
        </w:rPr>
        <w:t>announcements:</w:t>
      </w:r>
    </w:p>
    <w:p w:rsidR="003F51F1" w:rsidRDefault="003F51F1" w:rsidP="001E74F9">
      <w:pPr>
        <w:rPr>
          <w:color w:val="000000"/>
        </w:rPr>
      </w:pPr>
    </w:p>
    <w:p w:rsidR="00404F07" w:rsidRPr="003F51F1" w:rsidRDefault="00E928FA" w:rsidP="003F51F1">
      <w:pPr>
        <w:pStyle w:val="ListParagraph"/>
        <w:numPr>
          <w:ilvl w:val="0"/>
          <w:numId w:val="19"/>
        </w:numPr>
      </w:pPr>
      <w:r w:rsidRPr="00E928FA">
        <w:rPr>
          <w:b/>
        </w:rPr>
        <w:t xml:space="preserve">CBI </w:t>
      </w:r>
      <w:r>
        <w:t>-</w:t>
      </w:r>
      <w:r w:rsidR="00404F07" w:rsidRPr="003F51F1">
        <w:t>Sections of UK industry face extinction unless the UK stays in the EU customs union, the CBI president has said</w:t>
      </w:r>
      <w:r w:rsidR="00F755F8">
        <w:t>.</w:t>
      </w:r>
    </w:p>
    <w:p w:rsidR="00404F07" w:rsidRDefault="00404F07" w:rsidP="00404F07">
      <w:pPr>
        <w:pStyle w:val="ListParagraph"/>
        <w:numPr>
          <w:ilvl w:val="0"/>
          <w:numId w:val="19"/>
        </w:numPr>
        <w:shd w:val="clear" w:color="auto" w:fill="FFFFFF"/>
        <w:spacing w:before="240" w:after="100" w:afterAutospacing="1"/>
        <w:rPr>
          <w:rFonts w:eastAsia="Times New Roman"/>
          <w:color w:val="404040"/>
          <w:lang w:eastAsia="en-GB"/>
        </w:rPr>
      </w:pPr>
      <w:r w:rsidRPr="00E928FA">
        <w:rPr>
          <w:rFonts w:eastAsia="Times New Roman"/>
          <w:b/>
          <w:color w:val="404040"/>
          <w:lang w:eastAsia="en-GB"/>
        </w:rPr>
        <w:t>Airbus</w:t>
      </w:r>
      <w:r w:rsidR="003F51F1" w:rsidRPr="00E928FA">
        <w:rPr>
          <w:rFonts w:eastAsia="Times New Roman"/>
          <w:b/>
          <w:color w:val="404040"/>
          <w:lang w:eastAsia="en-GB"/>
        </w:rPr>
        <w:t xml:space="preserve"> -</w:t>
      </w:r>
      <w:r w:rsidR="003F51F1" w:rsidRPr="003F51F1">
        <w:rPr>
          <w:rFonts w:eastAsia="Times New Roman"/>
          <w:color w:val="404040"/>
          <w:lang w:eastAsia="en-GB"/>
        </w:rPr>
        <w:t xml:space="preserve"> </w:t>
      </w:r>
      <w:r w:rsidR="009E68D0" w:rsidRPr="003F51F1">
        <w:rPr>
          <w:color w:val="404040"/>
        </w:rPr>
        <w:t>Airbus employs about 14,000 people at 25 different sites in the UK.</w:t>
      </w:r>
      <w:r w:rsidR="003F51F1" w:rsidRPr="003F51F1">
        <w:rPr>
          <w:color w:val="404040"/>
        </w:rPr>
        <w:t xml:space="preserve"> </w:t>
      </w:r>
      <w:r w:rsidRPr="00404F07">
        <w:rPr>
          <w:rFonts w:eastAsia="Times New Roman"/>
          <w:color w:val="404040"/>
          <w:lang w:eastAsia="en-GB"/>
        </w:rPr>
        <w:t>In its Brexit "risk assessment, Airbus said if the UK left the EU next year without a deal - meaning it left both the single market and customs union immediately and without any agreed transition - it would "lead to severe disruption and interruption of UK production". "This scenario would force Airbus to reconsider its investments in the UK, and its long-term footprint in the country," it added</w:t>
      </w:r>
      <w:r w:rsidR="00F755F8">
        <w:rPr>
          <w:rFonts w:eastAsia="Times New Roman"/>
          <w:color w:val="404040"/>
          <w:lang w:eastAsia="en-GB"/>
        </w:rPr>
        <w:t>.</w:t>
      </w:r>
    </w:p>
    <w:p w:rsidR="00330E70" w:rsidRPr="00564AEE" w:rsidRDefault="00330E70" w:rsidP="00404F07">
      <w:pPr>
        <w:pStyle w:val="ListParagraph"/>
        <w:numPr>
          <w:ilvl w:val="0"/>
          <w:numId w:val="19"/>
        </w:numPr>
        <w:shd w:val="clear" w:color="auto" w:fill="FFFFFF"/>
        <w:spacing w:before="240" w:after="100" w:afterAutospacing="1"/>
        <w:rPr>
          <w:rFonts w:eastAsia="Times New Roman"/>
          <w:lang w:eastAsia="en-GB"/>
        </w:rPr>
      </w:pPr>
      <w:r w:rsidRPr="00330E70">
        <w:rPr>
          <w:b/>
          <w:lang w:val="en"/>
        </w:rPr>
        <w:t>BMW</w:t>
      </w:r>
      <w:r w:rsidRPr="00330E70">
        <w:rPr>
          <w:lang w:val="en"/>
        </w:rPr>
        <w:t xml:space="preserve"> has said it will be forced to close its production sites in the UK, putting 8,000 jobs at risk, if components for Mini and Rolls-Royce cars are caught up in customs delays after </w:t>
      </w:r>
      <w:hyperlink r:id="rId11" w:history="1">
        <w:r w:rsidRPr="00330E70">
          <w:rPr>
            <w:lang w:val="en"/>
          </w:rPr>
          <w:t>Brexit</w:t>
        </w:r>
      </w:hyperlink>
      <w:r>
        <w:rPr>
          <w:lang w:val="en"/>
        </w:rPr>
        <w:t xml:space="preserve">. They also added their backing to comments made by Airbus that jobs could disappear into Europe if the UK left the EU </w:t>
      </w:r>
      <w:r w:rsidRPr="00564AEE">
        <w:rPr>
          <w:lang w:val="en"/>
        </w:rPr>
        <w:t>without a deal.</w:t>
      </w:r>
    </w:p>
    <w:p w:rsidR="00D205F5" w:rsidRPr="00564AEE" w:rsidRDefault="00D205F5" w:rsidP="00404F07">
      <w:pPr>
        <w:pStyle w:val="ListParagraph"/>
        <w:numPr>
          <w:ilvl w:val="0"/>
          <w:numId w:val="19"/>
        </w:numPr>
        <w:shd w:val="clear" w:color="auto" w:fill="FFFFFF"/>
        <w:spacing w:before="240" w:after="100" w:afterAutospacing="1"/>
        <w:rPr>
          <w:rFonts w:eastAsia="Times New Roman"/>
          <w:lang w:eastAsia="en-GB"/>
        </w:rPr>
      </w:pPr>
      <w:r w:rsidRPr="00564AEE">
        <w:rPr>
          <w:b/>
          <w:lang w:val="en"/>
        </w:rPr>
        <w:t xml:space="preserve">Letter to PM – </w:t>
      </w:r>
      <w:r w:rsidRPr="00564AEE">
        <w:rPr>
          <w:lang w:val="en"/>
        </w:rPr>
        <w:t xml:space="preserve">The </w:t>
      </w:r>
      <w:proofErr w:type="spellStart"/>
      <w:r w:rsidRPr="00564AEE">
        <w:rPr>
          <w:lang w:val="en"/>
        </w:rPr>
        <w:t>Uk’s</w:t>
      </w:r>
      <w:proofErr w:type="spellEnd"/>
      <w:r w:rsidRPr="00564AEE">
        <w:rPr>
          <w:lang w:val="en"/>
        </w:rPr>
        <w:t xml:space="preserve"> five main business lobbies, the CBI, Institute of Directors, British Chamber of Commerce and the Federation of Small Businesses, have written to the PM urging her to make progress on Brexit negotiations or risk losing jobs. </w:t>
      </w:r>
      <w:r w:rsidRPr="00564AEE">
        <w:rPr>
          <w:b/>
          <w:lang w:val="en"/>
        </w:rPr>
        <w:t xml:space="preserve"> </w:t>
      </w:r>
    </w:p>
    <w:p w:rsidR="00E928FA" w:rsidRPr="00564AEE" w:rsidRDefault="00E928FA" w:rsidP="00E928FA">
      <w:pPr>
        <w:pStyle w:val="ListParagraph"/>
        <w:numPr>
          <w:ilvl w:val="0"/>
          <w:numId w:val="19"/>
        </w:numPr>
        <w:spacing w:before="100" w:beforeAutospacing="1" w:after="100" w:afterAutospacing="1"/>
        <w:rPr>
          <w:rFonts w:eastAsia="Times New Roman"/>
          <w:lang w:eastAsia="en-GB"/>
        </w:rPr>
      </w:pPr>
      <w:r w:rsidRPr="00564AEE">
        <w:rPr>
          <w:rFonts w:eastAsia="Times New Roman"/>
          <w:b/>
          <w:lang w:eastAsia="en-GB"/>
        </w:rPr>
        <w:t>Britain’s midsized companies</w:t>
      </w:r>
      <w:proofErr w:type="gramStart"/>
      <w:r w:rsidRPr="00564AEE">
        <w:rPr>
          <w:rFonts w:eastAsia="Times New Roman"/>
          <w:b/>
          <w:lang w:eastAsia="en-GB"/>
        </w:rPr>
        <w:t xml:space="preserve">-  </w:t>
      </w:r>
      <w:r w:rsidRPr="00564AEE">
        <w:rPr>
          <w:rFonts w:eastAsia="Times New Roman"/>
          <w:lang w:eastAsia="en-GB"/>
        </w:rPr>
        <w:t>the</w:t>
      </w:r>
      <w:proofErr w:type="gramEnd"/>
      <w:r w:rsidRPr="00564AEE">
        <w:rPr>
          <w:rFonts w:eastAsia="Times New Roman"/>
          <w:lang w:eastAsia="en-GB"/>
        </w:rPr>
        <w:t xml:space="preserve"> majority want the country to leave the EU single market and the customs union, according to a new poll. The recent survey, carried out by </w:t>
      </w:r>
      <w:proofErr w:type="spellStart"/>
      <w:r w:rsidRPr="00564AEE">
        <w:rPr>
          <w:rFonts w:eastAsia="Times New Roman"/>
          <w:lang w:eastAsia="en-GB"/>
        </w:rPr>
        <w:t>YouGov</w:t>
      </w:r>
      <w:proofErr w:type="spellEnd"/>
      <w:r w:rsidRPr="00564AEE">
        <w:rPr>
          <w:rFonts w:eastAsia="Times New Roman"/>
          <w:lang w:eastAsia="en-GB"/>
        </w:rPr>
        <w:t>, found that less than half would opt for the relationship Norway or Switzerland has with the bloc, which includes accepting EU regulations in return for single market access. The view contrasts with that of big business, which has called for the “widest possible rights of market access</w:t>
      </w:r>
      <w:r w:rsidR="00F755F8" w:rsidRPr="00564AEE">
        <w:rPr>
          <w:rFonts w:eastAsia="Times New Roman"/>
          <w:lang w:eastAsia="en-GB"/>
        </w:rPr>
        <w:t>.</w:t>
      </w:r>
    </w:p>
    <w:p w:rsidR="00E928FA" w:rsidRDefault="00E928FA" w:rsidP="00E928FA">
      <w:pPr>
        <w:pStyle w:val="ListParagraph"/>
        <w:shd w:val="clear" w:color="auto" w:fill="FFFFFF"/>
        <w:spacing w:before="240" w:after="100" w:afterAutospacing="1"/>
        <w:ind w:left="1080"/>
        <w:rPr>
          <w:rFonts w:eastAsia="Times New Roman"/>
          <w:color w:val="404040"/>
          <w:lang w:eastAsia="en-GB"/>
        </w:rPr>
      </w:pPr>
    </w:p>
    <w:p w:rsidR="00AD5FA0" w:rsidRPr="00404F07" w:rsidRDefault="00AD5FA0" w:rsidP="00E928FA">
      <w:pPr>
        <w:pStyle w:val="ListParagraph"/>
        <w:shd w:val="clear" w:color="auto" w:fill="FFFFFF"/>
        <w:spacing w:before="240" w:after="100" w:afterAutospacing="1"/>
        <w:ind w:left="1080"/>
        <w:rPr>
          <w:rFonts w:eastAsia="Times New Roman"/>
          <w:color w:val="404040"/>
          <w:lang w:eastAsia="en-GB"/>
        </w:rPr>
      </w:pPr>
      <w:r>
        <w:rPr>
          <w:noProof/>
          <w:lang w:eastAsia="en-GB"/>
        </w:rPr>
        <w:lastRenderedPageBreak/>
        <w:drawing>
          <wp:inline distT="0" distB="0" distL="0" distR="0" wp14:anchorId="205AA620" wp14:editId="50A3EB5F">
            <wp:extent cx="5229225" cy="6048375"/>
            <wp:effectExtent l="0" t="0" r="9525" b="9525"/>
            <wp:docPr id="1" name="Picture 1" descr="https://fullfact.org/media/uploads/graph2_L5df7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llfact.org/media/uploads/graph2_L5df73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6048375"/>
                    </a:xfrm>
                    <a:prstGeom prst="rect">
                      <a:avLst/>
                    </a:prstGeom>
                    <a:noFill/>
                    <a:ln>
                      <a:noFill/>
                    </a:ln>
                  </pic:spPr>
                </pic:pic>
              </a:graphicData>
            </a:graphic>
          </wp:inline>
        </w:drawing>
      </w:r>
    </w:p>
    <w:p w:rsidR="001E74F9" w:rsidRDefault="00741835" w:rsidP="001E74F9">
      <w:pPr>
        <w:rPr>
          <w:b/>
          <w:color w:val="000000"/>
        </w:rPr>
      </w:pPr>
      <w:r>
        <w:rPr>
          <w:b/>
          <w:color w:val="000000"/>
        </w:rPr>
        <w:t>Local Government Association Response</w:t>
      </w:r>
    </w:p>
    <w:p w:rsidR="00741835" w:rsidRPr="00564AEE" w:rsidRDefault="001629C4" w:rsidP="001629C4">
      <w:pPr>
        <w:rPr>
          <w:rFonts w:eastAsia="Times New Roman"/>
          <w:lang w:val="en" w:eastAsia="en-GB"/>
        </w:rPr>
      </w:pPr>
      <w:r w:rsidRPr="00564AEE">
        <w:t>Since the decision to leave the EU in 2017 the LGA have published a number of papers on the response of local government. In a recent paper f</w:t>
      </w:r>
      <w:proofErr w:type="spellStart"/>
      <w:r w:rsidR="00741835" w:rsidRPr="00564AEE">
        <w:rPr>
          <w:rFonts w:eastAsia="Times New Roman"/>
          <w:lang w:val="en" w:eastAsia="en-GB"/>
        </w:rPr>
        <w:t>ollowing</w:t>
      </w:r>
      <w:proofErr w:type="spellEnd"/>
      <w:r w:rsidR="00741835" w:rsidRPr="00564AEE">
        <w:rPr>
          <w:rFonts w:eastAsia="Times New Roman"/>
          <w:sz w:val="27"/>
          <w:szCs w:val="27"/>
          <w:lang w:val="en" w:eastAsia="en-GB"/>
        </w:rPr>
        <w:t xml:space="preserve"> </w:t>
      </w:r>
      <w:r w:rsidR="00741835" w:rsidRPr="00564AEE">
        <w:rPr>
          <w:rFonts w:eastAsia="Times New Roman"/>
          <w:lang w:val="en" w:eastAsia="en-GB"/>
        </w:rPr>
        <w:t xml:space="preserve">widespread consultation with councils, </w:t>
      </w:r>
      <w:r w:rsidRPr="00564AEE">
        <w:rPr>
          <w:rFonts w:eastAsia="Times New Roman"/>
          <w:lang w:val="en" w:eastAsia="en-GB"/>
        </w:rPr>
        <w:t xml:space="preserve">they </w:t>
      </w:r>
      <w:r w:rsidR="00741835" w:rsidRPr="00564AEE">
        <w:rPr>
          <w:rFonts w:eastAsia="Times New Roman"/>
          <w:lang w:val="en" w:eastAsia="en-GB"/>
        </w:rPr>
        <w:t>set out local government's five priority recommendations for the Brexit negotiations</w:t>
      </w:r>
      <w:r w:rsidRPr="00564AEE">
        <w:rPr>
          <w:rFonts w:eastAsia="Times New Roman"/>
          <w:lang w:val="en" w:eastAsia="en-GB"/>
        </w:rPr>
        <w:t xml:space="preserve">. </w:t>
      </w:r>
      <w:r w:rsidR="00741835" w:rsidRPr="00564AEE">
        <w:rPr>
          <w:rFonts w:eastAsia="Times New Roman"/>
          <w:lang w:val="en" w:eastAsia="en-GB"/>
        </w:rPr>
        <w:t xml:space="preserve">These headline priorities </w:t>
      </w:r>
      <w:r w:rsidRPr="00564AEE">
        <w:rPr>
          <w:rFonts w:eastAsia="Times New Roman"/>
          <w:lang w:val="en" w:eastAsia="en-GB"/>
        </w:rPr>
        <w:t>are</w:t>
      </w:r>
      <w:r w:rsidR="00741835" w:rsidRPr="00564AEE">
        <w:rPr>
          <w:rFonts w:eastAsia="Times New Roman"/>
          <w:lang w:val="en" w:eastAsia="en-GB"/>
        </w:rPr>
        <w:t>:</w:t>
      </w:r>
    </w:p>
    <w:p w:rsidR="00741835" w:rsidRPr="00564AEE" w:rsidRDefault="00741835" w:rsidP="00741835">
      <w:pPr>
        <w:numPr>
          <w:ilvl w:val="0"/>
          <w:numId w:val="22"/>
        </w:numPr>
        <w:spacing w:before="100" w:beforeAutospacing="1" w:after="100" w:afterAutospacing="1"/>
        <w:ind w:left="495"/>
        <w:rPr>
          <w:rFonts w:eastAsia="Times New Roman"/>
          <w:lang w:val="en" w:eastAsia="en-GB"/>
        </w:rPr>
      </w:pPr>
      <w:r w:rsidRPr="00564AEE">
        <w:rPr>
          <w:rFonts w:eastAsia="Times New Roman"/>
          <w:b/>
          <w:bCs/>
          <w:lang w:val="en" w:eastAsia="en-GB"/>
        </w:rPr>
        <w:t>Autonomy of local government</w:t>
      </w:r>
      <w:r w:rsidRPr="00564AEE">
        <w:rPr>
          <w:rFonts w:eastAsia="Times New Roman"/>
          <w:lang w:val="en" w:eastAsia="en-GB"/>
        </w:rPr>
        <w:br/>
        <w:t xml:space="preserve">Responsibilities repatriated from the EU should not be </w:t>
      </w:r>
      <w:proofErr w:type="spellStart"/>
      <w:r w:rsidRPr="00564AEE">
        <w:rPr>
          <w:rFonts w:eastAsia="Times New Roman"/>
          <w:lang w:val="en" w:eastAsia="en-GB"/>
        </w:rPr>
        <w:t>centralised</w:t>
      </w:r>
      <w:proofErr w:type="spellEnd"/>
      <w:r w:rsidRPr="00564AEE">
        <w:rPr>
          <w:rFonts w:eastAsia="Times New Roman"/>
          <w:lang w:val="en" w:eastAsia="en-GB"/>
        </w:rPr>
        <w:t xml:space="preserve"> in Whitehall. We need devolution settlements to ensure responsibility for those powers are transferred to local authorities.</w:t>
      </w:r>
    </w:p>
    <w:p w:rsidR="00741835" w:rsidRPr="00564AEE" w:rsidRDefault="00741835" w:rsidP="00741835">
      <w:pPr>
        <w:numPr>
          <w:ilvl w:val="0"/>
          <w:numId w:val="22"/>
        </w:numPr>
        <w:spacing w:before="100" w:beforeAutospacing="1" w:after="100" w:afterAutospacing="1"/>
        <w:ind w:left="495"/>
        <w:rPr>
          <w:rFonts w:eastAsia="Times New Roman"/>
          <w:lang w:val="en" w:eastAsia="en-GB"/>
        </w:rPr>
      </w:pPr>
      <w:r w:rsidRPr="00564AEE">
        <w:rPr>
          <w:rFonts w:eastAsia="Times New Roman"/>
          <w:b/>
          <w:bCs/>
          <w:lang w:val="en" w:eastAsia="en-GB"/>
        </w:rPr>
        <w:t>Developing a new legal base for local government</w:t>
      </w:r>
      <w:r w:rsidRPr="00564AEE">
        <w:rPr>
          <w:rFonts w:eastAsia="Times New Roman"/>
          <w:lang w:val="en" w:eastAsia="en-GB"/>
        </w:rPr>
        <w:br/>
        <w:t xml:space="preserve">There are many EU laws that affect the day job of local councils and the real world impact must be taken into account in the future review of UK laws of EU </w:t>
      </w:r>
      <w:r w:rsidRPr="00564AEE">
        <w:rPr>
          <w:rFonts w:eastAsia="Times New Roman"/>
          <w:lang w:val="en" w:eastAsia="en-GB"/>
        </w:rPr>
        <w:lastRenderedPageBreak/>
        <w:t>origin. This must lead to new legislative freedoms and flexibilities for councils so that communities, businesses and consumers can benefit.</w:t>
      </w:r>
    </w:p>
    <w:p w:rsidR="00741835" w:rsidRPr="00564AEE" w:rsidRDefault="00741835" w:rsidP="00741835">
      <w:pPr>
        <w:numPr>
          <w:ilvl w:val="0"/>
          <w:numId w:val="22"/>
        </w:numPr>
        <w:spacing w:before="100" w:beforeAutospacing="1" w:after="100" w:afterAutospacing="1"/>
        <w:ind w:left="495"/>
        <w:rPr>
          <w:rFonts w:eastAsia="Times New Roman"/>
          <w:lang w:val="en" w:eastAsia="en-GB"/>
        </w:rPr>
      </w:pPr>
      <w:r w:rsidRPr="00564AEE">
        <w:rPr>
          <w:rFonts w:eastAsia="Times New Roman"/>
          <w:b/>
          <w:bCs/>
          <w:lang w:val="en" w:eastAsia="en-GB"/>
        </w:rPr>
        <w:t>Securing investment that is currently sourced from the EU</w:t>
      </w:r>
      <w:r w:rsidRPr="00564AEE">
        <w:rPr>
          <w:rFonts w:eastAsia="Times New Roman"/>
          <w:lang w:val="en" w:eastAsia="en-GB"/>
        </w:rPr>
        <w:br/>
        <w:t>The Government needs to begin developing a locally-driven, fully-funded growth policy to deliver its ambitions post-Brexit. This must be designed and delivered by local areas as an integrated replacement for EU funding and existing national schemes to support infrastructure, enterprise, and social cohesion.</w:t>
      </w:r>
    </w:p>
    <w:p w:rsidR="00741835" w:rsidRPr="00564AEE" w:rsidRDefault="00741835" w:rsidP="00741835">
      <w:pPr>
        <w:numPr>
          <w:ilvl w:val="0"/>
          <w:numId w:val="22"/>
        </w:numPr>
        <w:spacing w:before="100" w:beforeAutospacing="1" w:after="100" w:afterAutospacing="1"/>
        <w:ind w:left="495"/>
        <w:rPr>
          <w:rFonts w:eastAsia="Times New Roman"/>
          <w:lang w:val="en" w:eastAsia="en-GB"/>
        </w:rPr>
      </w:pPr>
      <w:r w:rsidRPr="00564AEE">
        <w:rPr>
          <w:rFonts w:eastAsia="Times New Roman"/>
          <w:b/>
          <w:bCs/>
          <w:lang w:val="en" w:eastAsia="en-GB"/>
        </w:rPr>
        <w:t>Community cohesion</w:t>
      </w:r>
      <w:r w:rsidRPr="00564AEE">
        <w:rPr>
          <w:rFonts w:eastAsia="Times New Roman"/>
          <w:lang w:val="en" w:eastAsia="en-GB"/>
        </w:rPr>
        <w:br/>
        <w:t>Councils play the leading role in bringing communities together and will be important in tackling challenges such as the retention of skilled workers. For example, the adult social care workforce has a unique set of skills, but struggles with recruitment and retention. With 7 per cent of existing adult social care staff from other EU nations, securing a sustainable adult social care workforce and excellent care skills must be a priority for the Government. We are calling for urgent guarantees from Government to reform Whitehall's national approach to commissioning employment and skills funding, worth £10.5 billion a year. It is currently fragmented, costly, and fails to address the challenges faced by residents and employers.</w:t>
      </w:r>
    </w:p>
    <w:p w:rsidR="00741835" w:rsidRPr="00DF29C9" w:rsidRDefault="00741835" w:rsidP="00741835">
      <w:pPr>
        <w:numPr>
          <w:ilvl w:val="0"/>
          <w:numId w:val="22"/>
        </w:numPr>
        <w:spacing w:before="100" w:beforeAutospacing="1" w:after="100" w:afterAutospacing="1"/>
        <w:ind w:left="495"/>
        <w:rPr>
          <w:rFonts w:eastAsia="Times New Roman"/>
          <w:color w:val="464B51"/>
          <w:lang w:val="en" w:eastAsia="en-GB"/>
        </w:rPr>
      </w:pPr>
      <w:r w:rsidRPr="00564AEE">
        <w:rPr>
          <w:rFonts w:eastAsia="Times New Roman"/>
          <w:b/>
          <w:bCs/>
          <w:lang w:val="en" w:eastAsia="en-GB"/>
        </w:rPr>
        <w:t>Addressing place-based impacts</w:t>
      </w:r>
      <w:r w:rsidRPr="00564AEE">
        <w:rPr>
          <w:rFonts w:eastAsia="Times New Roman"/>
          <w:lang w:val="en" w:eastAsia="en-GB"/>
        </w:rPr>
        <w:br/>
      </w:r>
      <w:proofErr w:type="gramStart"/>
      <w:r w:rsidRPr="00564AEE">
        <w:rPr>
          <w:rFonts w:eastAsia="Times New Roman"/>
          <w:lang w:val="en" w:eastAsia="en-GB"/>
        </w:rPr>
        <w:t>In</w:t>
      </w:r>
      <w:proofErr w:type="gramEnd"/>
      <w:r w:rsidRPr="00564AEE">
        <w:rPr>
          <w:rFonts w:eastAsia="Times New Roman"/>
          <w:lang w:val="en" w:eastAsia="en-GB"/>
        </w:rPr>
        <w:t xml:space="preserve"> partnership with the LGA, government departments must begin to address the real and varied impacts and opportunities of Brexit at the local level, in both urban and rural areas. We are consulting widely and building our evidence base to support the exit negotiations</w:t>
      </w:r>
      <w:r w:rsidRPr="00DF29C9">
        <w:rPr>
          <w:rFonts w:eastAsia="Times New Roman"/>
          <w:color w:val="464B51"/>
          <w:lang w:val="en" w:eastAsia="en-GB"/>
        </w:rPr>
        <w:t>.</w:t>
      </w:r>
    </w:p>
    <w:p w:rsidR="009456CF" w:rsidRDefault="009456CF" w:rsidP="001E74F9">
      <w:pPr>
        <w:rPr>
          <w:lang w:val="en"/>
        </w:rPr>
      </w:pPr>
      <w:r>
        <w:rPr>
          <w:color w:val="000000"/>
        </w:rPr>
        <w:t xml:space="preserve">In </w:t>
      </w:r>
      <w:r w:rsidR="00DF29C9">
        <w:rPr>
          <w:color w:val="000000"/>
        </w:rPr>
        <w:t>2018</w:t>
      </w:r>
      <w:r>
        <w:rPr>
          <w:color w:val="000000"/>
        </w:rPr>
        <w:t xml:space="preserve"> the Local Government Association called on local authorities to provide information </w:t>
      </w:r>
      <w:r>
        <w:rPr>
          <w:lang w:val="en"/>
        </w:rPr>
        <w:t>in order to assist them in the second phase of Brexit negotiations and create a pro-active, forward facing view of local government after the UK's exit from the European Union</w:t>
      </w:r>
      <w:r w:rsidR="00E75576">
        <w:rPr>
          <w:lang w:val="en"/>
        </w:rPr>
        <w:t xml:space="preserve">. A copy of the Councils </w:t>
      </w:r>
      <w:r w:rsidR="00DF29C9">
        <w:rPr>
          <w:lang w:val="en"/>
        </w:rPr>
        <w:t xml:space="preserve">full </w:t>
      </w:r>
      <w:r w:rsidR="00E75576">
        <w:rPr>
          <w:lang w:val="en"/>
        </w:rPr>
        <w:t xml:space="preserve">reply can be found on the website at </w:t>
      </w:r>
    </w:p>
    <w:p w:rsidR="00E75576" w:rsidRDefault="00E75576" w:rsidP="001E74F9">
      <w:pPr>
        <w:rPr>
          <w:lang w:val="en"/>
        </w:rPr>
      </w:pPr>
    </w:p>
    <w:p w:rsidR="00E75576" w:rsidRDefault="00006D15" w:rsidP="001E74F9">
      <w:pPr>
        <w:rPr>
          <w:lang w:val="en"/>
        </w:rPr>
      </w:pPr>
      <w:hyperlink r:id="rId13" w:history="1">
        <w:r w:rsidR="00E75576" w:rsidRPr="00CD6507">
          <w:rPr>
            <w:rStyle w:val="Hyperlink"/>
            <w:lang w:val="en"/>
          </w:rPr>
          <w:t>https://www.google.co.uk/search?q=LGA+Call+for+Evidence%3A+The+Impact+of+EU+Exit+on+Places&amp;gws_rd=ssl</w:t>
        </w:r>
      </w:hyperlink>
    </w:p>
    <w:p w:rsidR="00E75576" w:rsidRDefault="00E75576" w:rsidP="001E74F9">
      <w:pPr>
        <w:rPr>
          <w:lang w:val="en"/>
        </w:rPr>
      </w:pPr>
    </w:p>
    <w:p w:rsidR="00E75576" w:rsidRDefault="00E75576" w:rsidP="001E74F9">
      <w:pPr>
        <w:rPr>
          <w:lang w:val="en"/>
        </w:rPr>
      </w:pPr>
      <w:r>
        <w:rPr>
          <w:lang w:val="en"/>
        </w:rPr>
        <w:t xml:space="preserve">A summary of the main findings </w:t>
      </w:r>
      <w:r w:rsidR="00BA11E2">
        <w:rPr>
          <w:lang w:val="en"/>
        </w:rPr>
        <w:t>are</w:t>
      </w:r>
      <w:r>
        <w:rPr>
          <w:lang w:val="en"/>
        </w:rPr>
        <w:t xml:space="preserve"> as </w:t>
      </w:r>
      <w:proofErr w:type="gramStart"/>
      <w:r>
        <w:rPr>
          <w:lang w:val="en"/>
        </w:rPr>
        <w:t>follows :</w:t>
      </w:r>
      <w:proofErr w:type="gramEnd"/>
    </w:p>
    <w:p w:rsidR="00E75576" w:rsidRPr="00E75576" w:rsidRDefault="00E75576" w:rsidP="00E75576">
      <w:pPr>
        <w:autoSpaceDE w:val="0"/>
        <w:autoSpaceDN w:val="0"/>
        <w:adjustRightInd w:val="0"/>
        <w:rPr>
          <w:color w:val="000000"/>
        </w:rPr>
      </w:pPr>
    </w:p>
    <w:p w:rsidR="00E75576" w:rsidRPr="00DF29C9" w:rsidRDefault="00E75576" w:rsidP="00E75576">
      <w:pPr>
        <w:rPr>
          <w:lang w:val="en"/>
        </w:rPr>
      </w:pPr>
      <w:r w:rsidRPr="00DF29C9">
        <w:rPr>
          <w:b/>
          <w:bCs/>
          <w:color w:val="000000"/>
        </w:rPr>
        <w:t>Are there likely to be any significant changes to the labour market in your local area as a consequence of exiting the EU?</w:t>
      </w:r>
    </w:p>
    <w:p w:rsidR="00741835" w:rsidRDefault="00741835" w:rsidP="001E74F9">
      <w:pPr>
        <w:rPr>
          <w:lang w:val="en"/>
        </w:rPr>
      </w:pPr>
    </w:p>
    <w:p w:rsidR="00DF29C9" w:rsidRDefault="00DF29C9" w:rsidP="001E74F9">
      <w:pPr>
        <w:rPr>
          <w:lang w:val="en"/>
        </w:rPr>
      </w:pPr>
    </w:p>
    <w:p w:rsidR="00E75576" w:rsidRDefault="00E75576" w:rsidP="00E75576">
      <w:pPr>
        <w:autoSpaceDE w:val="0"/>
        <w:autoSpaceDN w:val="0"/>
        <w:adjustRightInd w:val="0"/>
        <w:rPr>
          <w:b/>
          <w:bCs/>
          <w:color w:val="000000"/>
        </w:rPr>
      </w:pPr>
      <w:r w:rsidRPr="00E75576">
        <w:rPr>
          <w:b/>
          <w:bCs/>
          <w:color w:val="000000"/>
        </w:rPr>
        <w:t xml:space="preserve">Table </w:t>
      </w:r>
      <w:r w:rsidR="00DF29C9">
        <w:rPr>
          <w:b/>
          <w:bCs/>
          <w:color w:val="000000"/>
        </w:rPr>
        <w:t>1</w:t>
      </w:r>
      <w:r w:rsidRPr="00E75576">
        <w:rPr>
          <w:b/>
          <w:bCs/>
          <w:color w:val="000000"/>
        </w:rPr>
        <w:t xml:space="preserve">: Non UK European workers in Employment </w:t>
      </w:r>
    </w:p>
    <w:p w:rsidR="00C21B6E" w:rsidRDefault="00C21B6E" w:rsidP="00E75576">
      <w:pPr>
        <w:autoSpaceDE w:val="0"/>
        <w:autoSpaceDN w:val="0"/>
        <w:adjustRightInd w:val="0"/>
        <w:rPr>
          <w:b/>
          <w:bCs/>
          <w:color w:val="000000"/>
        </w:rPr>
      </w:pPr>
    </w:p>
    <w:p w:rsidR="00C21B6E" w:rsidRPr="009E6B8F" w:rsidRDefault="00C21B6E" w:rsidP="00E75576">
      <w:pPr>
        <w:autoSpaceDE w:val="0"/>
        <w:autoSpaceDN w:val="0"/>
        <w:adjustRightInd w:val="0"/>
        <w:rPr>
          <w:bCs/>
          <w:color w:val="000000"/>
        </w:rPr>
      </w:pPr>
      <w:r w:rsidRPr="009E6B8F">
        <w:rPr>
          <w:bCs/>
          <w:color w:val="000000"/>
        </w:rPr>
        <w:t xml:space="preserve">The following shows the number of non UK Europeans in </w:t>
      </w:r>
      <w:r w:rsidR="009E6B8F" w:rsidRPr="009E6B8F">
        <w:rPr>
          <w:bCs/>
          <w:color w:val="000000"/>
        </w:rPr>
        <w:t xml:space="preserve">employment in </w:t>
      </w:r>
      <w:r w:rsidR="00A41ED3">
        <w:rPr>
          <w:bCs/>
          <w:color w:val="000000"/>
        </w:rPr>
        <w:t>Oxford</w:t>
      </w:r>
      <w:r w:rsidR="009E6B8F" w:rsidRPr="009E6B8F">
        <w:rPr>
          <w:bCs/>
          <w:color w:val="000000"/>
        </w:rPr>
        <w:t xml:space="preserve"> which represents around 12% of the total population aged between 16 and 64 in employment. Around 11% are from EU countries.</w:t>
      </w:r>
    </w:p>
    <w:p w:rsidR="00E75576" w:rsidRPr="00DF29C9" w:rsidRDefault="00E75576" w:rsidP="00E75576">
      <w:pPr>
        <w:autoSpaceDE w:val="0"/>
        <w:autoSpaceDN w:val="0"/>
        <w:adjustRightInd w:val="0"/>
        <w:rPr>
          <w:b/>
          <w:bCs/>
          <w:color w:val="000000"/>
        </w:rPr>
      </w:pPr>
    </w:p>
    <w:p w:rsidR="00E75576" w:rsidRPr="00DF29C9" w:rsidRDefault="00DF29C9" w:rsidP="00E75576">
      <w:pPr>
        <w:autoSpaceDE w:val="0"/>
        <w:autoSpaceDN w:val="0"/>
        <w:adjustRightInd w:val="0"/>
        <w:rPr>
          <w:b/>
          <w:bCs/>
          <w:color w:val="000000"/>
        </w:rPr>
      </w:pPr>
      <w:r w:rsidRPr="009C3AA2">
        <w:rPr>
          <w:noProof/>
          <w:sz w:val="22"/>
          <w:szCs w:val="22"/>
          <w:lang w:eastAsia="en-GB"/>
        </w:rPr>
        <w:lastRenderedPageBreak/>
        <w:drawing>
          <wp:inline distT="0" distB="0" distL="0" distR="0" wp14:anchorId="3A462979" wp14:editId="30B1D40F">
            <wp:extent cx="5731510" cy="20916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91690"/>
                    </a:xfrm>
                    <a:prstGeom prst="rect">
                      <a:avLst/>
                    </a:prstGeom>
                    <a:noFill/>
                    <a:ln>
                      <a:noFill/>
                    </a:ln>
                  </pic:spPr>
                </pic:pic>
              </a:graphicData>
            </a:graphic>
          </wp:inline>
        </w:drawing>
      </w:r>
    </w:p>
    <w:p w:rsidR="00E75576" w:rsidRPr="00DF29C9" w:rsidRDefault="00E75576" w:rsidP="00E75576">
      <w:pPr>
        <w:autoSpaceDE w:val="0"/>
        <w:autoSpaceDN w:val="0"/>
        <w:adjustRightInd w:val="0"/>
        <w:rPr>
          <w:b/>
          <w:bCs/>
          <w:color w:val="000000"/>
        </w:rPr>
      </w:pPr>
    </w:p>
    <w:p w:rsidR="00E75576" w:rsidRPr="00DF29C9" w:rsidRDefault="00E75576" w:rsidP="00E75576">
      <w:pPr>
        <w:rPr>
          <w:lang w:val="en"/>
        </w:rPr>
      </w:pPr>
      <w:r w:rsidRPr="00DF29C9">
        <w:rPr>
          <w:color w:val="000000"/>
        </w:rPr>
        <w:t xml:space="preserve">There is already evidence of employees in a range of business feeling uncertainty about their continued status in the UK, or returning to their country of origin. The reversal of EU citizen status will impact on the attractiveness of all UK locations to international and EU labour. In Oxford specifically, it is expected </w:t>
      </w:r>
      <w:r w:rsidRPr="00DF29C9">
        <w:rPr>
          <w:bCs/>
          <w:color w:val="000000"/>
        </w:rPr>
        <w:t>that impact will be felt widely, across the highest skilled sectors, middle income professions and service professions</w:t>
      </w:r>
      <w:r w:rsidRPr="00DF29C9">
        <w:rPr>
          <w:color w:val="000000"/>
        </w:rPr>
        <w:t xml:space="preserve">; areas where there are known labour shortages such as </w:t>
      </w:r>
      <w:r w:rsidRPr="00DF29C9">
        <w:rPr>
          <w:bCs/>
          <w:color w:val="000000"/>
        </w:rPr>
        <w:t xml:space="preserve">ICT, science, technology research and engineering disciplines, the healthcare and hospitality </w:t>
      </w:r>
      <w:r w:rsidRPr="00DF29C9">
        <w:rPr>
          <w:color w:val="000000"/>
        </w:rPr>
        <w:t>sectors for example</w:t>
      </w:r>
      <w:r w:rsidR="00F755F8">
        <w:rPr>
          <w:color w:val="000000"/>
        </w:rPr>
        <w:t>.</w:t>
      </w:r>
    </w:p>
    <w:p w:rsidR="00741835" w:rsidRPr="00DF29C9" w:rsidRDefault="00741835" w:rsidP="001E74F9">
      <w:pPr>
        <w:rPr>
          <w:color w:val="000000"/>
        </w:rPr>
      </w:pPr>
    </w:p>
    <w:p w:rsidR="009456CF" w:rsidRPr="00DF29C9" w:rsidRDefault="00E75576" w:rsidP="001E74F9">
      <w:pPr>
        <w:rPr>
          <w:color w:val="000000"/>
        </w:rPr>
      </w:pPr>
      <w:r w:rsidRPr="00DF29C9">
        <w:rPr>
          <w:b/>
          <w:bCs/>
        </w:rPr>
        <w:t xml:space="preserve">Are there likely to be any significant impacts on particular economic sectors in your local area as a consequence of exiting the </w:t>
      </w:r>
      <w:proofErr w:type="gramStart"/>
      <w:r w:rsidRPr="00DF29C9">
        <w:rPr>
          <w:b/>
          <w:bCs/>
        </w:rPr>
        <w:t>EU</w:t>
      </w:r>
      <w:r w:rsidR="009D6A21" w:rsidRPr="00DF29C9">
        <w:rPr>
          <w:b/>
          <w:bCs/>
        </w:rPr>
        <w:t xml:space="preserve"> ?</w:t>
      </w:r>
      <w:proofErr w:type="gramEnd"/>
    </w:p>
    <w:p w:rsidR="009D6A21" w:rsidRPr="00DF29C9" w:rsidRDefault="009D6A21" w:rsidP="00AC00EE">
      <w:pPr>
        <w:rPr>
          <w:b/>
        </w:rPr>
      </w:pPr>
    </w:p>
    <w:p w:rsidR="009D6A21" w:rsidRPr="00DF29C9" w:rsidRDefault="009D6A21" w:rsidP="00DF29C9">
      <w:pPr>
        <w:pStyle w:val="ListParagraph"/>
        <w:numPr>
          <w:ilvl w:val="0"/>
          <w:numId w:val="24"/>
        </w:numPr>
        <w:rPr>
          <w:bCs/>
        </w:rPr>
      </w:pPr>
      <w:r w:rsidRPr="00DF29C9">
        <w:rPr>
          <w:b/>
        </w:rPr>
        <w:t>Higher education</w:t>
      </w:r>
      <w:r w:rsidRPr="00DF29C9">
        <w:t xml:space="preserve"> - </w:t>
      </w:r>
      <w:r w:rsidRPr="00DF29C9">
        <w:rPr>
          <w:bCs/>
        </w:rPr>
        <w:t>Access to research grants and partnerships will be reduced, as will access to EU researchers and students, due to the restriction of free movement of labour</w:t>
      </w:r>
      <w:r w:rsidR="00F755F8">
        <w:rPr>
          <w:bCs/>
        </w:rPr>
        <w:t>.</w:t>
      </w:r>
    </w:p>
    <w:p w:rsidR="009D6A21" w:rsidRPr="00DF29C9" w:rsidRDefault="009D6A21" w:rsidP="00AC00EE">
      <w:pPr>
        <w:rPr>
          <w:b/>
          <w:bCs/>
        </w:rPr>
      </w:pPr>
    </w:p>
    <w:p w:rsidR="009D6A21" w:rsidRPr="00DF29C9" w:rsidRDefault="009D6A21" w:rsidP="00DF29C9">
      <w:pPr>
        <w:pStyle w:val="Default"/>
        <w:numPr>
          <w:ilvl w:val="0"/>
          <w:numId w:val="24"/>
        </w:numPr>
      </w:pPr>
      <w:r w:rsidRPr="00DF29C9">
        <w:rPr>
          <w:b/>
        </w:rPr>
        <w:t>Bio Tech -</w:t>
      </w:r>
      <w:r w:rsidRPr="00DF29C9">
        <w:t xml:space="preserve"> Many of the companies operating in the sector are targeting export markets and three of the main concerns for the biotech sector that arise are: </w:t>
      </w:r>
    </w:p>
    <w:p w:rsidR="009D6A21" w:rsidRPr="00DF29C9" w:rsidRDefault="00F755F8" w:rsidP="00DF29C9">
      <w:pPr>
        <w:pStyle w:val="ListParagraph"/>
        <w:numPr>
          <w:ilvl w:val="1"/>
          <w:numId w:val="24"/>
        </w:numPr>
        <w:autoSpaceDE w:val="0"/>
        <w:autoSpaceDN w:val="0"/>
        <w:adjustRightInd w:val="0"/>
        <w:rPr>
          <w:color w:val="000000"/>
        </w:rPr>
      </w:pPr>
      <w:r>
        <w:rPr>
          <w:bCs/>
          <w:color w:val="000000"/>
        </w:rPr>
        <w:t>Access to talent</w:t>
      </w:r>
    </w:p>
    <w:p w:rsidR="009D6A21" w:rsidRPr="00DF29C9" w:rsidRDefault="009D6A21" w:rsidP="00DF29C9">
      <w:pPr>
        <w:pStyle w:val="ListParagraph"/>
        <w:numPr>
          <w:ilvl w:val="1"/>
          <w:numId w:val="24"/>
        </w:numPr>
        <w:autoSpaceDE w:val="0"/>
        <w:autoSpaceDN w:val="0"/>
        <w:adjustRightInd w:val="0"/>
        <w:rPr>
          <w:color w:val="000000"/>
        </w:rPr>
      </w:pPr>
      <w:r w:rsidRPr="00DF29C9">
        <w:rPr>
          <w:bCs/>
          <w:color w:val="000000"/>
        </w:rPr>
        <w:t>reduction in funding and investme</w:t>
      </w:r>
      <w:r w:rsidR="00F755F8">
        <w:rPr>
          <w:bCs/>
          <w:color w:val="000000"/>
        </w:rPr>
        <w:t>nt in the biotechnology sector</w:t>
      </w:r>
    </w:p>
    <w:p w:rsidR="009D6A21" w:rsidRPr="00DF29C9" w:rsidRDefault="009D6A21" w:rsidP="00DF29C9">
      <w:pPr>
        <w:pStyle w:val="ListParagraph"/>
        <w:numPr>
          <w:ilvl w:val="1"/>
          <w:numId w:val="24"/>
        </w:numPr>
        <w:autoSpaceDE w:val="0"/>
        <w:autoSpaceDN w:val="0"/>
        <w:adjustRightInd w:val="0"/>
        <w:rPr>
          <w:color w:val="000000"/>
        </w:rPr>
      </w:pPr>
      <w:r w:rsidRPr="00DF29C9">
        <w:rPr>
          <w:bCs/>
          <w:color w:val="000000"/>
        </w:rPr>
        <w:t>The country's role in managing regulations affecting the sector</w:t>
      </w:r>
    </w:p>
    <w:p w:rsidR="009D6A21" w:rsidRPr="00DF29C9" w:rsidRDefault="009D6A21" w:rsidP="00AC00EE"/>
    <w:p w:rsidR="009D6A21" w:rsidRPr="00DF29C9" w:rsidRDefault="009D6A21" w:rsidP="00DF29C9">
      <w:pPr>
        <w:pStyle w:val="ListParagraph"/>
        <w:numPr>
          <w:ilvl w:val="0"/>
          <w:numId w:val="24"/>
        </w:numPr>
        <w:autoSpaceDE w:val="0"/>
        <w:autoSpaceDN w:val="0"/>
        <w:adjustRightInd w:val="0"/>
        <w:rPr>
          <w:color w:val="000000"/>
        </w:rPr>
      </w:pPr>
      <w:r w:rsidRPr="00DF29C9">
        <w:rPr>
          <w:b/>
        </w:rPr>
        <w:t>Research, science and technology</w:t>
      </w:r>
      <w:r w:rsidRPr="009D6A21">
        <w:t xml:space="preserve"> </w:t>
      </w:r>
      <w:r w:rsidRPr="00DF29C9">
        <w:t xml:space="preserve"> -</w:t>
      </w:r>
      <w:r w:rsidRPr="00DF29C9">
        <w:rPr>
          <w:color w:val="000000"/>
        </w:rPr>
        <w:t xml:space="preserve">Oxford has numerous world-leading science and ‘Big Science’ assets that face an uncertain future because of; </w:t>
      </w:r>
    </w:p>
    <w:p w:rsidR="009D6A21" w:rsidRPr="00DF29C9" w:rsidRDefault="009D6A21" w:rsidP="00DF29C9">
      <w:pPr>
        <w:pStyle w:val="ListParagraph"/>
        <w:numPr>
          <w:ilvl w:val="2"/>
          <w:numId w:val="24"/>
        </w:numPr>
        <w:autoSpaceDE w:val="0"/>
        <w:autoSpaceDN w:val="0"/>
        <w:adjustRightInd w:val="0"/>
        <w:rPr>
          <w:color w:val="000000"/>
        </w:rPr>
      </w:pPr>
      <w:r w:rsidRPr="00DF29C9">
        <w:rPr>
          <w:bCs/>
          <w:color w:val="000000"/>
        </w:rPr>
        <w:t>their direct l</w:t>
      </w:r>
      <w:r w:rsidR="00F755F8">
        <w:rPr>
          <w:bCs/>
          <w:color w:val="000000"/>
        </w:rPr>
        <w:t>inks to EU wide infrastructure</w:t>
      </w:r>
    </w:p>
    <w:p w:rsidR="009D6A21" w:rsidRPr="00DF29C9" w:rsidRDefault="00F755F8" w:rsidP="00DF29C9">
      <w:pPr>
        <w:pStyle w:val="ListParagraph"/>
        <w:numPr>
          <w:ilvl w:val="2"/>
          <w:numId w:val="24"/>
        </w:numPr>
        <w:autoSpaceDE w:val="0"/>
        <w:autoSpaceDN w:val="0"/>
        <w:adjustRightInd w:val="0"/>
        <w:rPr>
          <w:color w:val="000000"/>
        </w:rPr>
      </w:pPr>
      <w:r>
        <w:rPr>
          <w:bCs/>
          <w:color w:val="000000"/>
        </w:rPr>
        <w:t>reliance on EU talent</w:t>
      </w:r>
    </w:p>
    <w:p w:rsidR="009D6A21" w:rsidRPr="00DF29C9" w:rsidRDefault="00F755F8" w:rsidP="00DF29C9">
      <w:pPr>
        <w:pStyle w:val="ListParagraph"/>
        <w:numPr>
          <w:ilvl w:val="2"/>
          <w:numId w:val="24"/>
        </w:numPr>
        <w:autoSpaceDE w:val="0"/>
        <w:autoSpaceDN w:val="0"/>
        <w:adjustRightInd w:val="0"/>
        <w:rPr>
          <w:color w:val="000000"/>
        </w:rPr>
      </w:pPr>
      <w:r>
        <w:rPr>
          <w:bCs/>
          <w:color w:val="000000"/>
        </w:rPr>
        <w:t>reliance on EU funds</w:t>
      </w:r>
      <w:r w:rsidR="009D6A21" w:rsidRPr="00DF29C9">
        <w:rPr>
          <w:bCs/>
          <w:color w:val="000000"/>
        </w:rPr>
        <w:t xml:space="preserve"> </w:t>
      </w:r>
    </w:p>
    <w:p w:rsidR="009D6A21" w:rsidRPr="00DF29C9" w:rsidRDefault="009D6A21" w:rsidP="00DF29C9">
      <w:pPr>
        <w:pStyle w:val="ListParagraph"/>
        <w:numPr>
          <w:ilvl w:val="2"/>
          <w:numId w:val="24"/>
        </w:numPr>
        <w:autoSpaceDE w:val="0"/>
        <w:autoSpaceDN w:val="0"/>
        <w:adjustRightInd w:val="0"/>
        <w:rPr>
          <w:color w:val="000000"/>
        </w:rPr>
      </w:pPr>
      <w:r w:rsidRPr="00DF29C9">
        <w:rPr>
          <w:bCs/>
          <w:color w:val="000000"/>
        </w:rPr>
        <w:t xml:space="preserve">A need for international collaborative efforts to achieve genuine impact </w:t>
      </w:r>
    </w:p>
    <w:p w:rsidR="009D6A21" w:rsidRPr="00DF29C9" w:rsidRDefault="009D6A21" w:rsidP="00AC00EE"/>
    <w:p w:rsidR="009D6A21" w:rsidRDefault="009D6A21" w:rsidP="00DF29C9">
      <w:pPr>
        <w:pStyle w:val="Default"/>
        <w:numPr>
          <w:ilvl w:val="0"/>
          <w:numId w:val="24"/>
        </w:numPr>
      </w:pPr>
      <w:r w:rsidRPr="00DF29C9">
        <w:rPr>
          <w:b/>
        </w:rPr>
        <w:t>Visitor Economy</w:t>
      </w:r>
      <w:r w:rsidRPr="00DF29C9">
        <w:t xml:space="preserve"> - Oxford’s tourism sector accounts for almost </w:t>
      </w:r>
      <w:r w:rsidRPr="00DF29C9">
        <w:rPr>
          <w:bCs/>
        </w:rPr>
        <w:t>12.8% of local employment</w:t>
      </w:r>
      <w:r w:rsidRPr="00DF29C9">
        <w:t xml:space="preserve">, supported by 6.6M annual trips and </w:t>
      </w:r>
      <w:proofErr w:type="gramStart"/>
      <w:r w:rsidRPr="00DF29C9">
        <w:t>spend</w:t>
      </w:r>
      <w:proofErr w:type="gramEnd"/>
      <w:r w:rsidRPr="00DF29C9">
        <w:t xml:space="preserve"> of £625m per annum. </w:t>
      </w:r>
      <w:r w:rsidRPr="00DF29C9">
        <w:rPr>
          <w:bCs/>
        </w:rPr>
        <w:t>Overseas visitor spending is more than double that of domestic visitors</w:t>
      </w:r>
      <w:r w:rsidRPr="00DF29C9">
        <w:t xml:space="preserve">. Given this importance, there is significant interest in what Brexit may mean for Tourism longer term. As it stands, there is uncertainty, and there are several anecdotal points that the sector have expressed; </w:t>
      </w:r>
    </w:p>
    <w:p w:rsidR="00DF29C9" w:rsidRPr="00DF29C9" w:rsidRDefault="00DF29C9" w:rsidP="009D6A21">
      <w:pPr>
        <w:pStyle w:val="Default"/>
      </w:pPr>
    </w:p>
    <w:p w:rsidR="009D6A21" w:rsidRPr="00DF29C9" w:rsidRDefault="009D6A21" w:rsidP="00DF29C9">
      <w:pPr>
        <w:pStyle w:val="ListParagraph"/>
        <w:numPr>
          <w:ilvl w:val="1"/>
          <w:numId w:val="24"/>
        </w:numPr>
        <w:autoSpaceDE w:val="0"/>
        <w:autoSpaceDN w:val="0"/>
        <w:adjustRightInd w:val="0"/>
        <w:spacing w:after="48"/>
        <w:rPr>
          <w:color w:val="000000"/>
        </w:rPr>
      </w:pPr>
      <w:r w:rsidRPr="00DF29C9">
        <w:rPr>
          <w:color w:val="000000"/>
        </w:rPr>
        <w:lastRenderedPageBreak/>
        <w:t>Domestic Tourism – As it is now more expensive for UK residents to go overseas it makes d</w:t>
      </w:r>
      <w:r w:rsidR="00F755F8">
        <w:rPr>
          <w:color w:val="000000"/>
        </w:rPr>
        <w:t>omestic holidays more appealing.</w:t>
      </w:r>
    </w:p>
    <w:p w:rsidR="009D6A21" w:rsidRPr="00DF29C9" w:rsidRDefault="009D6A21" w:rsidP="0055327E">
      <w:pPr>
        <w:pStyle w:val="ListParagraph"/>
        <w:numPr>
          <w:ilvl w:val="1"/>
          <w:numId w:val="24"/>
        </w:numPr>
        <w:autoSpaceDE w:val="0"/>
        <w:autoSpaceDN w:val="0"/>
        <w:adjustRightInd w:val="0"/>
        <w:spacing w:after="48"/>
        <w:rPr>
          <w:color w:val="000000"/>
        </w:rPr>
      </w:pPr>
      <w:r w:rsidRPr="00DF29C9">
        <w:rPr>
          <w:color w:val="000000"/>
        </w:rPr>
        <w:t>Inbound Tourism – Due to the strength of the pound (or lack of it) against the euro and dollar we are now ‘cheaper’ to visit in destination terms which should see an upturn in the inbound market</w:t>
      </w:r>
      <w:r w:rsidR="00F755F8">
        <w:rPr>
          <w:color w:val="000000"/>
        </w:rPr>
        <w:t>.</w:t>
      </w:r>
      <w:r w:rsidRPr="00DF29C9">
        <w:rPr>
          <w:color w:val="000000"/>
        </w:rPr>
        <w:t xml:space="preserve"> </w:t>
      </w:r>
    </w:p>
    <w:p w:rsidR="009D6A21" w:rsidRPr="00DF29C9" w:rsidRDefault="009D6A21" w:rsidP="00AC00EE"/>
    <w:p w:rsidR="009D6A21" w:rsidRPr="00DF29C9" w:rsidRDefault="00DF29C9" w:rsidP="0055327E">
      <w:pPr>
        <w:pStyle w:val="ListParagraph"/>
        <w:numPr>
          <w:ilvl w:val="0"/>
          <w:numId w:val="24"/>
        </w:numPr>
        <w:autoSpaceDE w:val="0"/>
        <w:autoSpaceDN w:val="0"/>
        <w:adjustRightInd w:val="0"/>
        <w:rPr>
          <w:color w:val="000000"/>
        </w:rPr>
      </w:pPr>
      <w:r w:rsidRPr="0055327E">
        <w:rPr>
          <w:b/>
          <w:color w:val="000000"/>
        </w:rPr>
        <w:t>Local businesses</w:t>
      </w:r>
      <w:r w:rsidRPr="00DF29C9">
        <w:rPr>
          <w:color w:val="000000"/>
        </w:rPr>
        <w:t xml:space="preserve"> -</w:t>
      </w:r>
      <w:r w:rsidR="009D6A21" w:rsidRPr="0055327E">
        <w:rPr>
          <w:color w:val="000000"/>
        </w:rPr>
        <w:t xml:space="preserve">Below are some of groups of responses highlighted in the </w:t>
      </w:r>
      <w:r w:rsidR="009D6A21" w:rsidRPr="0055327E">
        <w:rPr>
          <w:bCs/>
          <w:color w:val="000000"/>
        </w:rPr>
        <w:t xml:space="preserve">Bank of England Agent’s </w:t>
      </w:r>
      <w:r w:rsidR="009D6A21" w:rsidRPr="0055327E">
        <w:rPr>
          <w:color w:val="000000"/>
        </w:rPr>
        <w:t>conversations with local companies in the Oxford and Midlands area in the</w:t>
      </w:r>
      <w:r w:rsidR="009D6A21" w:rsidRPr="00DF29C9">
        <w:rPr>
          <w:color w:val="000000"/>
        </w:rPr>
        <w:t xml:space="preserve"> period to November 2016;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Business as usual for now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Some fear they face cliff edge in terms of market access and supplier arrangements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The regulatory piece is of concern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Concerns over supply chain complexity with individual negotiations for different markets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Uncertainty regarding sourcing migrant labour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Talk of automation due to potential labour shortages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More indigenous hiring and training where possible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Talk about relocation to access markets </w:t>
      </w:r>
    </w:p>
    <w:p w:rsidR="009D6A21" w:rsidRPr="00DF29C9" w:rsidRDefault="009D6A21" w:rsidP="00DF29C9">
      <w:pPr>
        <w:pStyle w:val="ListParagraph"/>
        <w:numPr>
          <w:ilvl w:val="2"/>
          <w:numId w:val="24"/>
        </w:numPr>
        <w:autoSpaceDE w:val="0"/>
        <w:autoSpaceDN w:val="0"/>
        <w:adjustRightInd w:val="0"/>
        <w:rPr>
          <w:color w:val="000000"/>
        </w:rPr>
      </w:pPr>
      <w:r w:rsidRPr="00DF29C9">
        <w:rPr>
          <w:color w:val="000000"/>
        </w:rPr>
        <w:t xml:space="preserve">Businesses talk of needing a plan A and plan B due to the uncertainty </w:t>
      </w:r>
    </w:p>
    <w:p w:rsidR="009D6A21" w:rsidRPr="00DF29C9" w:rsidRDefault="009D6A21" w:rsidP="00AC00EE"/>
    <w:p w:rsidR="006E2152" w:rsidRPr="00DF29C9" w:rsidRDefault="006E2152" w:rsidP="0055327E">
      <w:pPr>
        <w:pStyle w:val="ListParagraph"/>
        <w:numPr>
          <w:ilvl w:val="0"/>
          <w:numId w:val="24"/>
        </w:numPr>
        <w:autoSpaceDE w:val="0"/>
        <w:autoSpaceDN w:val="0"/>
        <w:adjustRightInd w:val="0"/>
        <w:rPr>
          <w:color w:val="000000"/>
        </w:rPr>
      </w:pPr>
      <w:r w:rsidRPr="00DF29C9">
        <w:rPr>
          <w:b/>
          <w:color w:val="000000"/>
        </w:rPr>
        <w:t>BMW Mini</w:t>
      </w:r>
      <w:r w:rsidRPr="00DF29C9">
        <w:rPr>
          <w:color w:val="000000"/>
        </w:rPr>
        <w:t xml:space="preserve"> Three plants across the UK have a part to play in MINI production - Plant Swindon where body panels and some assemblies are made, Plant Hams Hall which produces petrol engines and Plant Oxford, the heart of MINI, where all the parts are brought together and where the finished car rolls off the production line. There are 4,500 associates currently employed at Plant Oxford. Plant Swindon and Hams Hall plant together have around 1,600 employees. Between 2012 and 2015 BMW Group invested a further £750 million in its Oxford, Swindon and Hams Hall plants taking investment in UK production to £1.75 billion since 2000. There are approximately 4,000 different parts supplied to Plant Oxford for the production of the MINI. </w:t>
      </w:r>
    </w:p>
    <w:p w:rsidR="00DF29C9" w:rsidRDefault="00DF29C9" w:rsidP="006E2152">
      <w:pPr>
        <w:autoSpaceDE w:val="0"/>
        <w:autoSpaceDN w:val="0"/>
        <w:adjustRightInd w:val="0"/>
        <w:rPr>
          <w:b/>
          <w:bCs/>
          <w:color w:val="000000"/>
        </w:rPr>
      </w:pPr>
    </w:p>
    <w:p w:rsidR="006E2152" w:rsidRPr="006E2152" w:rsidRDefault="006E2152" w:rsidP="0055327E">
      <w:pPr>
        <w:autoSpaceDE w:val="0"/>
        <w:autoSpaceDN w:val="0"/>
        <w:adjustRightInd w:val="0"/>
        <w:ind w:left="720" w:firstLine="22"/>
        <w:rPr>
          <w:color w:val="000000"/>
        </w:rPr>
      </w:pPr>
      <w:r w:rsidRPr="006E2152">
        <w:rPr>
          <w:color w:val="000000"/>
        </w:rPr>
        <w:t xml:space="preserve">BMW have gone on record in the press. Stating, "BMW Group is committed to the UK, its fourth biggest market and home to two of its brands, and respects the British electorate’s decision to leave the EU. Given the current political uncertainty regarding next steps, all we can say regarding our own activities in Britain is that we continue to operate ‘business as usual. Until we receive answers to the many open questions regarding the UK’s future trade relations with the EU and other countries, we cannot speculate about any possible impact Britain’s decision to leave the EU may eventually have on our UK operations." </w:t>
      </w:r>
    </w:p>
    <w:p w:rsidR="00DF29C9" w:rsidRDefault="00DF29C9" w:rsidP="006E2152">
      <w:pPr>
        <w:autoSpaceDE w:val="0"/>
        <w:autoSpaceDN w:val="0"/>
        <w:adjustRightInd w:val="0"/>
        <w:rPr>
          <w:b/>
          <w:bCs/>
          <w:color w:val="000000"/>
        </w:rPr>
      </w:pPr>
    </w:p>
    <w:p w:rsidR="006E2152" w:rsidRPr="00DF29C9" w:rsidRDefault="006E2152" w:rsidP="0055327E">
      <w:pPr>
        <w:pStyle w:val="ListParagraph"/>
        <w:numPr>
          <w:ilvl w:val="0"/>
          <w:numId w:val="24"/>
        </w:numPr>
        <w:autoSpaceDE w:val="0"/>
        <w:autoSpaceDN w:val="0"/>
        <w:adjustRightInd w:val="0"/>
        <w:rPr>
          <w:color w:val="1A1A1A"/>
        </w:rPr>
      </w:pPr>
      <w:r w:rsidRPr="00F54B10">
        <w:rPr>
          <w:b/>
          <w:color w:val="1A1A1A"/>
        </w:rPr>
        <w:t>Unipart Group</w:t>
      </w:r>
      <w:r w:rsidRPr="00DF29C9">
        <w:rPr>
          <w:color w:val="1A1A1A"/>
        </w:rPr>
        <w:t xml:space="preserve"> is a multinational logistics, supply chain, manufacturing and consultancy with almost 1,000 employees based at their Oxford Headquarters. Unipart have 6,700 employees worldwide, customers and partners in all EU member countries, and operations in the Netherlands and Spain. Unipart have articulated three key concerns related to the uncertainty resulting from the EU referendum: </w:t>
      </w:r>
    </w:p>
    <w:p w:rsidR="00DF29C9" w:rsidRPr="0055327E" w:rsidRDefault="006E2152" w:rsidP="0055327E">
      <w:pPr>
        <w:pStyle w:val="ListParagraph"/>
        <w:numPr>
          <w:ilvl w:val="1"/>
          <w:numId w:val="24"/>
        </w:numPr>
        <w:autoSpaceDE w:val="0"/>
        <w:autoSpaceDN w:val="0"/>
        <w:adjustRightInd w:val="0"/>
        <w:rPr>
          <w:color w:val="000000"/>
        </w:rPr>
      </w:pPr>
      <w:r w:rsidRPr="0055327E">
        <w:rPr>
          <w:color w:val="000000"/>
        </w:rPr>
        <w:t>Complexity of operations –</w:t>
      </w:r>
    </w:p>
    <w:p w:rsidR="006E2152" w:rsidRPr="0055327E" w:rsidRDefault="006E2152" w:rsidP="0055327E">
      <w:pPr>
        <w:pStyle w:val="ListParagraph"/>
        <w:numPr>
          <w:ilvl w:val="1"/>
          <w:numId w:val="24"/>
        </w:numPr>
        <w:autoSpaceDE w:val="0"/>
        <w:autoSpaceDN w:val="0"/>
        <w:adjustRightInd w:val="0"/>
        <w:rPr>
          <w:color w:val="000000"/>
        </w:rPr>
      </w:pPr>
      <w:r w:rsidRPr="0055327E">
        <w:rPr>
          <w:color w:val="000000"/>
        </w:rPr>
        <w:lastRenderedPageBreak/>
        <w:t xml:space="preserve">Freedom of movement for existing staff –. </w:t>
      </w:r>
    </w:p>
    <w:p w:rsidR="00DF29C9" w:rsidRPr="0055327E" w:rsidRDefault="006E2152" w:rsidP="0055327E">
      <w:pPr>
        <w:pStyle w:val="ListParagraph"/>
        <w:numPr>
          <w:ilvl w:val="1"/>
          <w:numId w:val="24"/>
        </w:numPr>
        <w:autoSpaceDE w:val="0"/>
        <w:autoSpaceDN w:val="0"/>
        <w:adjustRightInd w:val="0"/>
        <w:rPr>
          <w:color w:val="000000"/>
        </w:rPr>
      </w:pPr>
      <w:r w:rsidRPr="0055327E">
        <w:rPr>
          <w:color w:val="000000"/>
        </w:rPr>
        <w:t xml:space="preserve">Uncertainty for capital investments and employees – Unipart have been aware of delays in significant capital investments in their </w:t>
      </w:r>
    </w:p>
    <w:p w:rsidR="00DF29C9" w:rsidRPr="009E589D" w:rsidRDefault="00DF29C9" w:rsidP="00DF29C9">
      <w:pPr>
        <w:autoSpaceDE w:val="0"/>
        <w:autoSpaceDN w:val="0"/>
        <w:adjustRightInd w:val="0"/>
        <w:rPr>
          <w:color w:val="000000"/>
        </w:rPr>
      </w:pPr>
    </w:p>
    <w:p w:rsidR="009E589D" w:rsidRPr="009E589D" w:rsidRDefault="009E589D" w:rsidP="00DF29C9">
      <w:pPr>
        <w:autoSpaceDE w:val="0"/>
        <w:autoSpaceDN w:val="0"/>
        <w:adjustRightInd w:val="0"/>
        <w:rPr>
          <w:rFonts w:eastAsia="Times New Roman"/>
          <w:b/>
          <w:lang w:eastAsia="en-GB"/>
        </w:rPr>
      </w:pPr>
      <w:r w:rsidRPr="009E589D">
        <w:rPr>
          <w:rFonts w:eastAsia="Times New Roman"/>
          <w:b/>
          <w:lang w:eastAsia="en-GB"/>
        </w:rPr>
        <w:t xml:space="preserve">Other Relevant Data for </w:t>
      </w:r>
      <w:r w:rsidR="00C21B6E">
        <w:rPr>
          <w:rFonts w:eastAsia="Times New Roman"/>
          <w:b/>
          <w:lang w:eastAsia="en-GB"/>
        </w:rPr>
        <w:t>Oxford</w:t>
      </w:r>
    </w:p>
    <w:p w:rsidR="009E589D" w:rsidRDefault="009E589D" w:rsidP="00DF29C9">
      <w:pPr>
        <w:autoSpaceDE w:val="0"/>
        <w:autoSpaceDN w:val="0"/>
        <w:adjustRightInd w:val="0"/>
        <w:rPr>
          <w:rFonts w:eastAsia="Times New Roman"/>
          <w:b/>
          <w:highlight w:val="yellow"/>
          <w:lang w:eastAsia="en-GB"/>
        </w:rPr>
      </w:pPr>
    </w:p>
    <w:p w:rsidR="009E589D" w:rsidRPr="00F946B7" w:rsidRDefault="009E589D" w:rsidP="009E589D">
      <w:pPr>
        <w:pStyle w:val="Heading3"/>
        <w:rPr>
          <w:b w:val="0"/>
          <w:color w:val="7F7F7F" w:themeColor="text1" w:themeTint="80"/>
          <w:sz w:val="26"/>
          <w:szCs w:val="26"/>
        </w:rPr>
      </w:pPr>
      <w:r w:rsidRPr="00F946B7">
        <w:rPr>
          <w:color w:val="7F7F7F" w:themeColor="text1" w:themeTint="80"/>
          <w:sz w:val="26"/>
          <w:szCs w:val="26"/>
        </w:rPr>
        <w:t>EU Citizens, Oxford Residents</w:t>
      </w:r>
    </w:p>
    <w:p w:rsidR="009E589D" w:rsidRDefault="009E589D" w:rsidP="009E589D">
      <w:r>
        <w:t>Empirical research has shown that opportunities for employment and higher wages compared to their origin countries could have been strong pull factors for EU migrants to the UK since the accession of the A8 (“new”) EU countries in 2004. Weekly workplace wages in Oxford have been consistently higher than the national average since 2005.</w:t>
      </w:r>
    </w:p>
    <w:p w:rsidR="009E589D" w:rsidRDefault="009E589D" w:rsidP="009E589D"/>
    <w:p w:rsidR="009E589D" w:rsidRDefault="009E589D" w:rsidP="009E589D">
      <w:r>
        <w:rPr>
          <w:noProof/>
          <w:lang w:eastAsia="en-GB"/>
        </w:rPr>
        <w:drawing>
          <wp:inline distT="0" distB="0" distL="0" distR="0" wp14:anchorId="312119C5" wp14:editId="5DE657A2">
            <wp:extent cx="5943600" cy="4236720"/>
            <wp:effectExtent l="0" t="0" r="1905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89D" w:rsidRPr="001957DD" w:rsidRDefault="009E589D" w:rsidP="009E589D">
      <w:pPr>
        <w:rPr>
          <w:sz w:val="16"/>
          <w:szCs w:val="16"/>
        </w:rPr>
      </w:pPr>
      <w:r w:rsidRPr="001957DD">
        <w:rPr>
          <w:sz w:val="16"/>
          <w:szCs w:val="16"/>
        </w:rPr>
        <w:t>Source: Annual Survey of Hours and Earnings (ASHE), average gross weekly residence based earnings. CPI inflation adjusted (2012=100). Note: ASHE statistics are based on a sample survey, so the statistical significance of the results should be treated with caution.</w:t>
      </w:r>
    </w:p>
    <w:p w:rsidR="009E589D" w:rsidRDefault="009E589D" w:rsidP="009E589D"/>
    <w:p w:rsidR="00C21B6E" w:rsidRPr="001957DD" w:rsidRDefault="00C21B6E" w:rsidP="00C21B6E">
      <w:r w:rsidRPr="001957DD">
        <w:t xml:space="preserve">Between the last two UK Censuses, the number of residents who were born in the EU grew by over 7,000, comprising 8.3% of Oxford’s usually resident population as of the 2011 Census. </w:t>
      </w:r>
    </w:p>
    <w:p w:rsidR="00C21B6E" w:rsidRPr="001957DD" w:rsidRDefault="00C21B6E" w:rsidP="00C21B6E"/>
    <w:p w:rsidR="00C21B6E" w:rsidRPr="001957DD" w:rsidRDefault="00C21B6E" w:rsidP="00C21B6E">
      <w:r w:rsidRPr="001957DD">
        <w:t xml:space="preserve">Oxford residents with EU passports represent a broad range of skills, training, and educational backgrounds. Taking a closer look into those who hold EU passports (Table A), over half those from the “old” EU countries are more likely to have a Level </w:t>
      </w:r>
      <w:r>
        <w:t>4</w:t>
      </w:r>
      <w:r w:rsidRPr="001957DD">
        <w:t xml:space="preserve"> qualification or above, meaning a bachelor’s degrees and above. In contrast, the percentage of those from the “new” EU countries is lower at 39%; however, around a </w:t>
      </w:r>
      <w:r w:rsidRPr="001957DD">
        <w:lastRenderedPageBreak/>
        <w:t>third from those countries had previous experience through apprenticeships and / or other qualifications.</w:t>
      </w:r>
    </w:p>
    <w:p w:rsidR="00C21B6E" w:rsidRDefault="00C21B6E" w:rsidP="00C21B6E"/>
    <w:p w:rsidR="00C21B6E" w:rsidRPr="00565432" w:rsidRDefault="00C21B6E" w:rsidP="00C21B6E">
      <w:pPr>
        <w:rPr>
          <w:b/>
        </w:rPr>
      </w:pPr>
      <w:r w:rsidRPr="00565432">
        <w:rPr>
          <w:b/>
        </w:rPr>
        <w:t>Table A: Passports held by qualifications, Oxford usual residents</w:t>
      </w:r>
    </w:p>
    <w:tbl>
      <w:tblPr>
        <w:tblW w:w="5000" w:type="pct"/>
        <w:tblLook w:val="04A0" w:firstRow="1" w:lastRow="0" w:firstColumn="1" w:lastColumn="0" w:noHBand="0" w:noVBand="1"/>
      </w:tblPr>
      <w:tblGrid>
        <w:gridCol w:w="1405"/>
        <w:gridCol w:w="917"/>
        <w:gridCol w:w="1119"/>
        <w:gridCol w:w="1119"/>
        <w:gridCol w:w="1119"/>
        <w:gridCol w:w="1119"/>
        <w:gridCol w:w="1119"/>
        <w:gridCol w:w="1325"/>
      </w:tblGrid>
      <w:tr w:rsidR="00C21B6E" w:rsidRPr="00565432" w:rsidTr="00C21B6E">
        <w:trPr>
          <w:trHeight w:val="765"/>
        </w:trPr>
        <w:tc>
          <w:tcPr>
            <w:tcW w:w="760" w:type="pct"/>
            <w:tcBorders>
              <w:top w:val="single" w:sz="8" w:space="0" w:color="A6A6A6"/>
              <w:left w:val="single" w:sz="8" w:space="0" w:color="A6A6A6"/>
              <w:bottom w:val="single" w:sz="4" w:space="0" w:color="A6A6A6"/>
              <w:right w:val="single" w:sz="4" w:space="0" w:color="A6A6A6"/>
            </w:tcBorders>
            <w:shd w:val="clear" w:color="000000" w:fill="1F497D"/>
            <w:vAlign w:val="center"/>
            <w:hideMark/>
          </w:tcPr>
          <w:p w:rsidR="00C21B6E" w:rsidRPr="00565432" w:rsidRDefault="00C21B6E" w:rsidP="005B63A3">
            <w:pPr>
              <w:rPr>
                <w:rFonts w:eastAsia="Times New Roman"/>
                <w:b/>
                <w:bCs/>
                <w:color w:val="FFFFFF"/>
                <w:sz w:val="14"/>
                <w:szCs w:val="20"/>
              </w:rPr>
            </w:pPr>
            <w:r w:rsidRPr="00565432">
              <w:rPr>
                <w:rFonts w:eastAsia="Times New Roman"/>
                <w:b/>
                <w:bCs/>
                <w:color w:val="FFFFFF"/>
                <w:sz w:val="14"/>
                <w:szCs w:val="20"/>
              </w:rPr>
              <w:t>Passports Held</w:t>
            </w:r>
          </w:p>
        </w:tc>
        <w:tc>
          <w:tcPr>
            <w:tcW w:w="496"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All categories</w:t>
            </w:r>
          </w:p>
        </w:tc>
        <w:tc>
          <w:tcPr>
            <w:tcW w:w="605"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No qualifications</w:t>
            </w:r>
          </w:p>
        </w:tc>
        <w:tc>
          <w:tcPr>
            <w:tcW w:w="605"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Level 1 qualifications</w:t>
            </w:r>
          </w:p>
        </w:tc>
        <w:tc>
          <w:tcPr>
            <w:tcW w:w="605"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Level 2 qualifications</w:t>
            </w:r>
          </w:p>
        </w:tc>
        <w:tc>
          <w:tcPr>
            <w:tcW w:w="605"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Level 3 qualifications</w:t>
            </w:r>
          </w:p>
        </w:tc>
        <w:tc>
          <w:tcPr>
            <w:tcW w:w="605" w:type="pct"/>
            <w:tcBorders>
              <w:top w:val="single" w:sz="8" w:space="0" w:color="A6A6A6"/>
              <w:left w:val="nil"/>
              <w:bottom w:val="single" w:sz="4" w:space="0" w:color="A6A6A6"/>
              <w:right w:val="single" w:sz="4"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Level 4 qualifications and above</w:t>
            </w:r>
          </w:p>
        </w:tc>
        <w:tc>
          <w:tcPr>
            <w:tcW w:w="717" w:type="pct"/>
            <w:tcBorders>
              <w:top w:val="single" w:sz="8" w:space="0" w:color="A6A6A6"/>
              <w:left w:val="nil"/>
              <w:bottom w:val="single" w:sz="4" w:space="0" w:color="A6A6A6"/>
              <w:right w:val="single" w:sz="8" w:space="0" w:color="A6A6A6"/>
            </w:tcBorders>
            <w:shd w:val="clear" w:color="000000" w:fill="1F497D"/>
            <w:vAlign w:val="center"/>
            <w:hideMark/>
          </w:tcPr>
          <w:p w:rsidR="00C21B6E" w:rsidRPr="00565432" w:rsidRDefault="00C21B6E" w:rsidP="005B63A3">
            <w:pPr>
              <w:jc w:val="center"/>
              <w:rPr>
                <w:rFonts w:eastAsia="Times New Roman"/>
                <w:b/>
                <w:bCs/>
                <w:color w:val="FFFFFF"/>
                <w:sz w:val="14"/>
                <w:szCs w:val="20"/>
              </w:rPr>
            </w:pPr>
            <w:r w:rsidRPr="00565432">
              <w:rPr>
                <w:rFonts w:eastAsia="Times New Roman"/>
                <w:b/>
                <w:bCs/>
                <w:color w:val="FFFFFF"/>
                <w:sz w:val="14"/>
                <w:szCs w:val="20"/>
              </w:rPr>
              <w:t>Apprenticeships and other qualifications</w:t>
            </w:r>
          </w:p>
        </w:tc>
      </w:tr>
      <w:tr w:rsidR="00C21B6E" w:rsidRPr="00565432" w:rsidTr="00C21B6E">
        <w:trPr>
          <w:trHeight w:val="51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All categories: Passports held</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126,725</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14%</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8%</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9%</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18%</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43%</w:t>
            </w:r>
          </w:p>
        </w:tc>
        <w:tc>
          <w:tcPr>
            <w:tcW w:w="717" w:type="pct"/>
            <w:tcBorders>
              <w:top w:val="nil"/>
              <w:left w:val="nil"/>
              <w:bottom w:val="single" w:sz="4" w:space="0" w:color="A6A6A6"/>
              <w:right w:val="single" w:sz="8"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9%</w:t>
            </w:r>
          </w:p>
        </w:tc>
      </w:tr>
      <w:tr w:rsidR="00C21B6E" w:rsidRPr="00565432" w:rsidTr="00C21B6E">
        <w:trPr>
          <w:trHeight w:val="30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Europe: Total</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102,971</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11%</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8%</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9%</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20%</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44%</w:t>
            </w:r>
          </w:p>
        </w:tc>
        <w:tc>
          <w:tcPr>
            <w:tcW w:w="717" w:type="pct"/>
            <w:tcBorders>
              <w:top w:val="nil"/>
              <w:left w:val="nil"/>
              <w:bottom w:val="single" w:sz="4" w:space="0" w:color="A6A6A6"/>
              <w:right w:val="single" w:sz="8"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8%</w:t>
            </w:r>
          </w:p>
        </w:tc>
      </w:tr>
      <w:tr w:rsidR="00C21B6E" w:rsidRPr="00565432" w:rsidTr="00C21B6E">
        <w:trPr>
          <w:trHeight w:val="30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b/>
                <w:bCs/>
                <w:sz w:val="16"/>
                <w:szCs w:val="16"/>
              </w:rPr>
            </w:pPr>
            <w:r w:rsidRPr="00565432">
              <w:rPr>
                <w:rFonts w:eastAsia="Times New Roman"/>
                <w:b/>
                <w:bCs/>
                <w:sz w:val="16"/>
                <w:szCs w:val="16"/>
              </w:rPr>
              <w:t>Europe: United Kingdom</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88,804</w:t>
            </w:r>
          </w:p>
        </w:tc>
        <w:tc>
          <w:tcPr>
            <w:tcW w:w="605" w:type="pct"/>
            <w:tcBorders>
              <w:top w:val="single" w:sz="4" w:space="0" w:color="A6A6A6"/>
              <w:left w:val="single" w:sz="4" w:space="0" w:color="A6A6A6"/>
              <w:bottom w:val="single" w:sz="4" w:space="0" w:color="A6A6A6"/>
              <w:right w:val="single" w:sz="4" w:space="0" w:color="A6A6A6"/>
            </w:tcBorders>
            <w:shd w:val="clear" w:color="000000" w:fill="E6E897"/>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12%</w:t>
            </w:r>
          </w:p>
        </w:tc>
        <w:tc>
          <w:tcPr>
            <w:tcW w:w="605" w:type="pct"/>
            <w:tcBorders>
              <w:top w:val="single" w:sz="4" w:space="0" w:color="A6A6A6"/>
              <w:left w:val="single" w:sz="4" w:space="0" w:color="A6A6A6"/>
              <w:bottom w:val="single" w:sz="4" w:space="0" w:color="A6A6A6"/>
              <w:right w:val="single" w:sz="4" w:space="0" w:color="A6A6A6"/>
            </w:tcBorders>
            <w:shd w:val="clear" w:color="000000" w:fill="F0EB99"/>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9%</w:t>
            </w:r>
          </w:p>
        </w:tc>
        <w:tc>
          <w:tcPr>
            <w:tcW w:w="605" w:type="pct"/>
            <w:tcBorders>
              <w:top w:val="single" w:sz="4" w:space="0" w:color="A6A6A6"/>
              <w:left w:val="single" w:sz="4" w:space="0" w:color="A6A6A6"/>
              <w:bottom w:val="single" w:sz="4" w:space="0" w:color="A6A6A6"/>
              <w:right w:val="single" w:sz="4" w:space="0" w:color="A6A6A6"/>
            </w:tcBorders>
            <w:shd w:val="clear" w:color="000000" w:fill="ECE998"/>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10%</w:t>
            </w:r>
          </w:p>
        </w:tc>
        <w:tc>
          <w:tcPr>
            <w:tcW w:w="605" w:type="pct"/>
            <w:tcBorders>
              <w:top w:val="single" w:sz="4" w:space="0" w:color="A6A6A6"/>
              <w:left w:val="single" w:sz="4" w:space="0" w:color="A6A6A6"/>
              <w:bottom w:val="single" w:sz="4" w:space="0" w:color="A6A6A6"/>
              <w:right w:val="single" w:sz="4" w:space="0" w:color="A6A6A6"/>
            </w:tcBorders>
            <w:shd w:val="clear" w:color="000000" w:fill="C4DD90"/>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22%</w:t>
            </w:r>
          </w:p>
        </w:tc>
        <w:tc>
          <w:tcPr>
            <w:tcW w:w="605" w:type="pct"/>
            <w:tcBorders>
              <w:top w:val="single" w:sz="4" w:space="0" w:color="A6A6A6"/>
              <w:left w:val="single" w:sz="4" w:space="0" w:color="A6A6A6"/>
              <w:bottom w:val="single" w:sz="4" w:space="0" w:color="A6A6A6"/>
              <w:right w:val="single" w:sz="4" w:space="0" w:color="A6A6A6"/>
            </w:tcBorders>
            <w:shd w:val="clear" w:color="000000" w:fill="7FC781"/>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43%</w:t>
            </w:r>
          </w:p>
        </w:tc>
        <w:tc>
          <w:tcPr>
            <w:tcW w:w="717" w:type="pct"/>
            <w:tcBorders>
              <w:top w:val="single" w:sz="4" w:space="0" w:color="A6A6A6"/>
              <w:left w:val="single" w:sz="4" w:space="0" w:color="A6A6A6"/>
              <w:bottom w:val="single" w:sz="4" w:space="0" w:color="A6A6A6"/>
              <w:right w:val="single" w:sz="8" w:space="0" w:color="A6A6A6"/>
            </w:tcBorders>
            <w:shd w:val="clear" w:color="000000" w:fill="FBEE9C"/>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5%</w:t>
            </w:r>
          </w:p>
        </w:tc>
      </w:tr>
      <w:tr w:rsidR="00C21B6E" w:rsidRPr="00565432" w:rsidTr="00C21B6E">
        <w:trPr>
          <w:trHeight w:val="30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Europe: Ireland</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1,764</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18%</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5%</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7%</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13%</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48%</w:t>
            </w:r>
          </w:p>
        </w:tc>
        <w:tc>
          <w:tcPr>
            <w:tcW w:w="717" w:type="pct"/>
            <w:tcBorders>
              <w:top w:val="nil"/>
              <w:left w:val="nil"/>
              <w:bottom w:val="single" w:sz="4" w:space="0" w:color="A6A6A6"/>
              <w:right w:val="single" w:sz="8"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9%</w:t>
            </w:r>
          </w:p>
        </w:tc>
      </w:tr>
      <w:tr w:rsidR="00C21B6E" w:rsidRPr="00565432" w:rsidTr="00C21B6E">
        <w:trPr>
          <w:trHeight w:val="30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Europe: Other Europe: Total</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12,403</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5%</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5%</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9%</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51%</w:t>
            </w:r>
          </w:p>
        </w:tc>
        <w:tc>
          <w:tcPr>
            <w:tcW w:w="717" w:type="pct"/>
            <w:tcBorders>
              <w:top w:val="nil"/>
              <w:left w:val="nil"/>
              <w:bottom w:val="single" w:sz="4" w:space="0" w:color="A6A6A6"/>
              <w:right w:val="single" w:sz="8"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25%</w:t>
            </w:r>
          </w:p>
        </w:tc>
      </w:tr>
      <w:tr w:rsidR="00C21B6E" w:rsidRPr="00565432" w:rsidTr="00C21B6E">
        <w:trPr>
          <w:trHeight w:val="51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b/>
                <w:bCs/>
                <w:sz w:val="16"/>
                <w:szCs w:val="16"/>
              </w:rPr>
            </w:pPr>
            <w:r w:rsidRPr="00565432">
              <w:rPr>
                <w:rFonts w:eastAsia="Times New Roman"/>
                <w:b/>
                <w:bCs/>
                <w:sz w:val="16"/>
                <w:szCs w:val="16"/>
              </w:rPr>
              <w:t>Europe: Other Europe: EU countries: Total</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11,274</w:t>
            </w:r>
          </w:p>
        </w:tc>
        <w:tc>
          <w:tcPr>
            <w:tcW w:w="605" w:type="pct"/>
            <w:tcBorders>
              <w:top w:val="single" w:sz="4" w:space="0" w:color="A6A6A6"/>
              <w:left w:val="single" w:sz="4" w:space="0" w:color="A6A6A6"/>
              <w:bottom w:val="single" w:sz="4" w:space="0" w:color="A6A6A6"/>
              <w:right w:val="single" w:sz="4" w:space="0" w:color="A6A6A6"/>
            </w:tcBorders>
            <w:shd w:val="clear" w:color="000000" w:fill="FAEE9B"/>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6%</w:t>
            </w:r>
          </w:p>
        </w:tc>
        <w:tc>
          <w:tcPr>
            <w:tcW w:w="605" w:type="pct"/>
            <w:tcBorders>
              <w:top w:val="single" w:sz="4" w:space="0" w:color="A6A6A6"/>
              <w:left w:val="single" w:sz="4" w:space="0" w:color="A6A6A6"/>
              <w:bottom w:val="single" w:sz="4" w:space="0" w:color="A6A6A6"/>
              <w:right w:val="single" w:sz="4" w:space="0" w:color="A6A6A6"/>
            </w:tcBorders>
            <w:shd w:val="clear" w:color="000000" w:fill="FFEF9C"/>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4%</w:t>
            </w:r>
          </w:p>
        </w:tc>
        <w:tc>
          <w:tcPr>
            <w:tcW w:w="605" w:type="pct"/>
            <w:tcBorders>
              <w:top w:val="single" w:sz="4" w:space="0" w:color="A6A6A6"/>
              <w:left w:val="single" w:sz="4" w:space="0" w:color="A6A6A6"/>
              <w:bottom w:val="single" w:sz="4" w:space="0" w:color="A6A6A6"/>
              <w:right w:val="single" w:sz="4" w:space="0" w:color="A6A6A6"/>
            </w:tcBorders>
            <w:shd w:val="clear" w:color="000000" w:fill="FBEE9C"/>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5%</w:t>
            </w:r>
          </w:p>
        </w:tc>
        <w:tc>
          <w:tcPr>
            <w:tcW w:w="605" w:type="pct"/>
            <w:tcBorders>
              <w:top w:val="single" w:sz="4" w:space="0" w:color="A6A6A6"/>
              <w:left w:val="single" w:sz="4" w:space="0" w:color="A6A6A6"/>
              <w:bottom w:val="single" w:sz="4" w:space="0" w:color="A6A6A6"/>
              <w:right w:val="single" w:sz="4" w:space="0" w:color="A6A6A6"/>
            </w:tcBorders>
            <w:shd w:val="clear" w:color="000000" w:fill="EFEA99"/>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9%</w:t>
            </w:r>
          </w:p>
        </w:tc>
        <w:tc>
          <w:tcPr>
            <w:tcW w:w="605" w:type="pct"/>
            <w:tcBorders>
              <w:top w:val="single" w:sz="4" w:space="0" w:color="A6A6A6"/>
              <w:left w:val="single" w:sz="4" w:space="0" w:color="A6A6A6"/>
              <w:bottom w:val="single" w:sz="4" w:space="0" w:color="A6A6A6"/>
              <w:right w:val="single" w:sz="4" w:space="0" w:color="A6A6A6"/>
            </w:tcBorders>
            <w:shd w:val="clear" w:color="000000" w:fill="63BE7B"/>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51%</w:t>
            </w:r>
          </w:p>
        </w:tc>
        <w:tc>
          <w:tcPr>
            <w:tcW w:w="717" w:type="pct"/>
            <w:tcBorders>
              <w:top w:val="single" w:sz="4" w:space="0" w:color="A6A6A6"/>
              <w:left w:val="single" w:sz="4" w:space="0" w:color="A6A6A6"/>
              <w:bottom w:val="single" w:sz="4" w:space="0" w:color="A6A6A6"/>
              <w:right w:val="single" w:sz="8" w:space="0" w:color="A6A6A6"/>
            </w:tcBorders>
            <w:shd w:val="clear" w:color="000000" w:fill="BADA8E"/>
            <w:noWrap/>
            <w:hideMark/>
          </w:tcPr>
          <w:p w:rsidR="00C21B6E" w:rsidRPr="00565432" w:rsidRDefault="00C21B6E" w:rsidP="005B63A3">
            <w:pPr>
              <w:jc w:val="right"/>
              <w:rPr>
                <w:rFonts w:eastAsia="Times New Roman"/>
                <w:b/>
                <w:bCs/>
                <w:i/>
                <w:iCs/>
                <w:sz w:val="16"/>
                <w:szCs w:val="16"/>
              </w:rPr>
            </w:pPr>
            <w:r w:rsidRPr="00565432">
              <w:rPr>
                <w:rFonts w:eastAsia="Times New Roman"/>
                <w:b/>
                <w:bCs/>
                <w:i/>
                <w:iCs/>
                <w:sz w:val="16"/>
                <w:szCs w:val="16"/>
              </w:rPr>
              <w:t>25%</w:t>
            </w:r>
          </w:p>
        </w:tc>
      </w:tr>
      <w:tr w:rsidR="00C21B6E" w:rsidRPr="00565432" w:rsidTr="00C21B6E">
        <w:trPr>
          <w:trHeight w:val="765"/>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Europe: Other Europe: EU countries: Member countries in March 2001</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7,127</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6%</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3%</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8%</w:t>
            </w:r>
          </w:p>
        </w:tc>
        <w:tc>
          <w:tcPr>
            <w:tcW w:w="605"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58%</w:t>
            </w:r>
          </w:p>
        </w:tc>
        <w:tc>
          <w:tcPr>
            <w:tcW w:w="717" w:type="pct"/>
            <w:tcBorders>
              <w:top w:val="nil"/>
              <w:left w:val="nil"/>
              <w:bottom w:val="single" w:sz="4" w:space="0" w:color="A6A6A6"/>
              <w:right w:val="single" w:sz="8"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21%</w:t>
            </w:r>
          </w:p>
        </w:tc>
      </w:tr>
      <w:tr w:rsidR="00C21B6E" w:rsidRPr="00565432" w:rsidTr="00C21B6E">
        <w:trPr>
          <w:trHeight w:val="1020"/>
        </w:trPr>
        <w:tc>
          <w:tcPr>
            <w:tcW w:w="760" w:type="pct"/>
            <w:tcBorders>
              <w:top w:val="nil"/>
              <w:left w:val="single" w:sz="8" w:space="0" w:color="A6A6A6"/>
              <w:bottom w:val="single" w:sz="4" w:space="0" w:color="A6A6A6"/>
              <w:right w:val="single" w:sz="4" w:space="0" w:color="A6A6A6"/>
            </w:tcBorders>
            <w:shd w:val="clear" w:color="auto" w:fill="auto"/>
            <w:hideMark/>
          </w:tcPr>
          <w:p w:rsidR="00C21B6E" w:rsidRPr="00565432" w:rsidRDefault="00C21B6E" w:rsidP="005B63A3">
            <w:pPr>
              <w:rPr>
                <w:rFonts w:eastAsia="Times New Roman"/>
                <w:sz w:val="16"/>
                <w:szCs w:val="16"/>
              </w:rPr>
            </w:pPr>
            <w:r w:rsidRPr="00565432">
              <w:rPr>
                <w:rFonts w:eastAsia="Times New Roman"/>
                <w:sz w:val="16"/>
                <w:szCs w:val="16"/>
              </w:rPr>
              <w:t>Europe: Other Europe: EU countries: Accession countries April 2001 to March 2011</w:t>
            </w:r>
          </w:p>
        </w:tc>
        <w:tc>
          <w:tcPr>
            <w:tcW w:w="496" w:type="pct"/>
            <w:tcBorders>
              <w:top w:val="nil"/>
              <w:left w:val="nil"/>
              <w:bottom w:val="single" w:sz="4" w:space="0" w:color="A6A6A6"/>
              <w:right w:val="single" w:sz="4" w:space="0" w:color="A6A6A6"/>
            </w:tcBorders>
            <w:shd w:val="clear" w:color="auto" w:fill="auto"/>
            <w:noWrap/>
            <w:hideMark/>
          </w:tcPr>
          <w:p w:rsidR="00C21B6E" w:rsidRPr="00565432" w:rsidRDefault="00C21B6E" w:rsidP="005B63A3">
            <w:pPr>
              <w:jc w:val="right"/>
              <w:rPr>
                <w:rFonts w:eastAsia="Times New Roman"/>
                <w:sz w:val="16"/>
                <w:szCs w:val="16"/>
              </w:rPr>
            </w:pPr>
            <w:r w:rsidRPr="00565432">
              <w:rPr>
                <w:rFonts w:eastAsia="Times New Roman"/>
                <w:sz w:val="16"/>
                <w:szCs w:val="16"/>
              </w:rPr>
              <w:t>4,147</w:t>
            </w:r>
          </w:p>
        </w:tc>
        <w:tc>
          <w:tcPr>
            <w:tcW w:w="605" w:type="pct"/>
            <w:tcBorders>
              <w:top w:val="nil"/>
              <w:left w:val="nil"/>
              <w:bottom w:val="single" w:sz="4" w:space="0" w:color="A6A6A6"/>
              <w:right w:val="single" w:sz="4"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6%</w:t>
            </w:r>
          </w:p>
        </w:tc>
        <w:tc>
          <w:tcPr>
            <w:tcW w:w="605" w:type="pct"/>
            <w:tcBorders>
              <w:top w:val="nil"/>
              <w:left w:val="nil"/>
              <w:bottom w:val="single" w:sz="4" w:space="0" w:color="A6A6A6"/>
              <w:right w:val="single" w:sz="4"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5%</w:t>
            </w:r>
          </w:p>
        </w:tc>
        <w:tc>
          <w:tcPr>
            <w:tcW w:w="605" w:type="pct"/>
            <w:tcBorders>
              <w:top w:val="nil"/>
              <w:left w:val="nil"/>
              <w:bottom w:val="single" w:sz="4" w:space="0" w:color="A6A6A6"/>
              <w:right w:val="single" w:sz="4"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7%</w:t>
            </w:r>
          </w:p>
        </w:tc>
        <w:tc>
          <w:tcPr>
            <w:tcW w:w="605" w:type="pct"/>
            <w:tcBorders>
              <w:top w:val="nil"/>
              <w:left w:val="nil"/>
              <w:bottom w:val="single" w:sz="4" w:space="0" w:color="A6A6A6"/>
              <w:right w:val="single" w:sz="4"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10%</w:t>
            </w:r>
          </w:p>
        </w:tc>
        <w:tc>
          <w:tcPr>
            <w:tcW w:w="605" w:type="pct"/>
            <w:tcBorders>
              <w:top w:val="nil"/>
              <w:left w:val="nil"/>
              <w:bottom w:val="single" w:sz="4" w:space="0" w:color="A6A6A6"/>
              <w:right w:val="single" w:sz="4"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39%</w:t>
            </w:r>
          </w:p>
        </w:tc>
        <w:tc>
          <w:tcPr>
            <w:tcW w:w="717" w:type="pct"/>
            <w:tcBorders>
              <w:top w:val="nil"/>
              <w:left w:val="nil"/>
              <w:bottom w:val="single" w:sz="4" w:space="0" w:color="A6A6A6"/>
              <w:right w:val="single" w:sz="8" w:space="0" w:color="A6A6A6"/>
            </w:tcBorders>
            <w:shd w:val="clear" w:color="auto" w:fill="FABF8F" w:themeFill="accent6" w:themeFillTint="99"/>
            <w:noWrap/>
            <w:hideMark/>
          </w:tcPr>
          <w:p w:rsidR="00C21B6E" w:rsidRPr="00565432" w:rsidRDefault="00C21B6E" w:rsidP="005B63A3">
            <w:pPr>
              <w:jc w:val="right"/>
              <w:rPr>
                <w:rFonts w:eastAsia="Times New Roman"/>
                <w:sz w:val="16"/>
                <w:szCs w:val="16"/>
              </w:rPr>
            </w:pPr>
            <w:r w:rsidRPr="00565432">
              <w:rPr>
                <w:rFonts w:eastAsia="Times New Roman"/>
                <w:sz w:val="16"/>
                <w:szCs w:val="16"/>
              </w:rPr>
              <w:t>33%</w:t>
            </w:r>
          </w:p>
        </w:tc>
      </w:tr>
    </w:tbl>
    <w:p w:rsidR="00C21B6E" w:rsidRDefault="00C21B6E" w:rsidP="00C21B6E"/>
    <w:p w:rsidR="00C21B6E" w:rsidRPr="001957DD" w:rsidRDefault="00C21B6E" w:rsidP="00C21B6E">
      <w:pPr>
        <w:rPr>
          <w:sz w:val="20"/>
          <w:szCs w:val="20"/>
        </w:rPr>
      </w:pPr>
      <w:r w:rsidRPr="001957DD">
        <w:rPr>
          <w:sz w:val="20"/>
          <w:szCs w:val="20"/>
        </w:rPr>
        <w:t>Source: UK Census 2011</w:t>
      </w:r>
    </w:p>
    <w:p w:rsidR="00C21B6E" w:rsidRDefault="00C21B6E" w:rsidP="00C21B6E"/>
    <w:p w:rsidR="00C21B6E" w:rsidRPr="00E234BB" w:rsidRDefault="00C21B6E" w:rsidP="00C21B6E">
      <w:r w:rsidRPr="00E234BB">
        <w:t>The two universities in Oxford have been a draw for EU migrants, especially those with higher-skill levels, as shown through the number of EU citizens in education or in employment at the universities. In 201</w:t>
      </w:r>
      <w:r>
        <w:t>6/17</w:t>
      </w:r>
      <w:r w:rsidRPr="00E234BB">
        <w:t xml:space="preserve">, around </w:t>
      </w:r>
      <w:r>
        <w:t>42,455</w:t>
      </w:r>
      <w:r w:rsidRPr="00E234BB">
        <w:t xml:space="preserve"> students (graduate and postgraduate) attended the city’s two Universities. Higher education in Oxford accounts fo</w:t>
      </w:r>
      <w:r>
        <w:t>r</w:t>
      </w:r>
      <w:r w:rsidRPr="00E234BB">
        <w:t xml:space="preserve"> approximately </w:t>
      </w:r>
      <w:r>
        <w:t>27,000</w:t>
      </w:r>
      <w:r w:rsidRPr="00E234BB">
        <w:t xml:space="preserve"> jobs, or </w:t>
      </w:r>
      <w:r>
        <w:t>22.3</w:t>
      </w:r>
      <w:r w:rsidRPr="00E234BB">
        <w:t>% of total employ</w:t>
      </w:r>
      <w:r>
        <w:t xml:space="preserve">ee jobs, and makes up the largest percentage of employees by sector, followed by those employed in hospital </w:t>
      </w:r>
      <w:proofErr w:type="spellStart"/>
      <w:r>
        <w:t>activites</w:t>
      </w:r>
      <w:proofErr w:type="spellEnd"/>
      <w:r w:rsidRPr="00E234BB">
        <w:t xml:space="preserve">. </w:t>
      </w:r>
      <w:r w:rsidRPr="006C3C40">
        <w:t>Currently 18% of Oxford’s staff and 16% of its students are from elsewhere in the European Union. In 2015/16, it received £74m (14% of its research funding) from the EU.</w:t>
      </w:r>
    </w:p>
    <w:p w:rsidR="00C21B6E" w:rsidRDefault="00C21B6E" w:rsidP="00C21B6E">
      <w:r w:rsidRPr="00E234BB">
        <w:t>Access to research grants and partnerships face the risk of being reduced by the impacts of Brexit, as will access to EU researchers and students, due to the possible res</w:t>
      </w:r>
      <w:r>
        <w:t>triction of free movement of lab</w:t>
      </w:r>
      <w:r w:rsidRPr="00E234BB">
        <w:t>o</w:t>
      </w:r>
      <w:r>
        <w:t>u</w:t>
      </w:r>
      <w:r w:rsidRPr="00E234BB">
        <w:t>r.</w:t>
      </w:r>
    </w:p>
    <w:p w:rsidR="00C21B6E" w:rsidRDefault="00C21B6E" w:rsidP="00C21B6E"/>
    <w:p w:rsidR="00C21B6E" w:rsidRDefault="00C21B6E" w:rsidP="00C21B6E">
      <w:pPr>
        <w:rPr>
          <w:b/>
        </w:rPr>
      </w:pPr>
      <w:r w:rsidRPr="00C075AF">
        <w:rPr>
          <w:b/>
        </w:rPr>
        <w:t xml:space="preserve">Table </w:t>
      </w:r>
      <w:r>
        <w:rPr>
          <w:b/>
        </w:rPr>
        <w:t>B Top 10 industries by number of employees, Oxford 2016</w:t>
      </w:r>
    </w:p>
    <w:tbl>
      <w:tblPr>
        <w:tblW w:w="9580" w:type="dxa"/>
        <w:tblInd w:w="93" w:type="dxa"/>
        <w:tblLook w:val="04A0" w:firstRow="1" w:lastRow="0" w:firstColumn="1" w:lastColumn="0" w:noHBand="0" w:noVBand="1"/>
      </w:tblPr>
      <w:tblGrid>
        <w:gridCol w:w="6788"/>
        <w:gridCol w:w="1155"/>
        <w:gridCol w:w="1637"/>
      </w:tblGrid>
      <w:tr w:rsidR="00C21B6E" w:rsidRPr="00BE3CBA" w:rsidTr="005B63A3">
        <w:trPr>
          <w:trHeight w:val="510"/>
        </w:trPr>
        <w:tc>
          <w:tcPr>
            <w:tcW w:w="5640" w:type="dxa"/>
            <w:tcBorders>
              <w:top w:val="single" w:sz="4" w:space="0" w:color="A6A6A6"/>
              <w:left w:val="single" w:sz="4" w:space="0" w:color="A6A6A6"/>
              <w:bottom w:val="single" w:sz="4" w:space="0" w:color="D9D9D9"/>
              <w:right w:val="single" w:sz="4" w:space="0" w:color="D9D9D9"/>
            </w:tcBorders>
            <w:shd w:val="clear" w:color="000000" w:fill="1F497D"/>
            <w:vAlign w:val="center"/>
            <w:hideMark/>
          </w:tcPr>
          <w:p w:rsidR="00C21B6E" w:rsidRPr="00BE3CBA" w:rsidRDefault="00C21B6E" w:rsidP="005B63A3">
            <w:pPr>
              <w:rPr>
                <w:rFonts w:eastAsia="Times New Roman"/>
                <w:b/>
                <w:bCs/>
                <w:color w:val="FFFFFF"/>
                <w:sz w:val="20"/>
                <w:szCs w:val="20"/>
                <w:lang w:eastAsia="en-GB"/>
              </w:rPr>
            </w:pPr>
            <w:r w:rsidRPr="00BE3CBA">
              <w:rPr>
                <w:rFonts w:eastAsia="Times New Roman"/>
                <w:b/>
                <w:bCs/>
                <w:color w:val="FFFFFF"/>
                <w:sz w:val="20"/>
                <w:szCs w:val="20"/>
                <w:lang w:eastAsia="en-GB"/>
              </w:rPr>
              <w:t>Industry</w:t>
            </w:r>
          </w:p>
        </w:tc>
        <w:tc>
          <w:tcPr>
            <w:tcW w:w="960" w:type="dxa"/>
            <w:tcBorders>
              <w:top w:val="single" w:sz="4" w:space="0" w:color="A6A6A6"/>
              <w:left w:val="nil"/>
              <w:bottom w:val="single" w:sz="4" w:space="0" w:color="D9D9D9"/>
              <w:right w:val="single" w:sz="4" w:space="0" w:color="D9D9D9"/>
            </w:tcBorders>
            <w:shd w:val="clear" w:color="000000" w:fill="1F497D"/>
            <w:vAlign w:val="center"/>
            <w:hideMark/>
          </w:tcPr>
          <w:p w:rsidR="00C21B6E" w:rsidRPr="00BE3CBA" w:rsidRDefault="00C21B6E" w:rsidP="005B63A3">
            <w:pPr>
              <w:jc w:val="center"/>
              <w:rPr>
                <w:rFonts w:eastAsia="Times New Roman"/>
                <w:b/>
                <w:bCs/>
                <w:color w:val="FFFFFF"/>
                <w:sz w:val="20"/>
                <w:szCs w:val="20"/>
                <w:lang w:eastAsia="en-GB"/>
              </w:rPr>
            </w:pPr>
            <w:r w:rsidRPr="00BE3CBA">
              <w:rPr>
                <w:rFonts w:eastAsia="Times New Roman"/>
                <w:b/>
                <w:bCs/>
                <w:color w:val="FFFFFF"/>
                <w:sz w:val="20"/>
                <w:szCs w:val="20"/>
                <w:lang w:eastAsia="en-GB"/>
              </w:rPr>
              <w:t>Count</w:t>
            </w:r>
          </w:p>
        </w:tc>
        <w:tc>
          <w:tcPr>
            <w:tcW w:w="1360" w:type="dxa"/>
            <w:tcBorders>
              <w:top w:val="single" w:sz="4" w:space="0" w:color="A6A6A6"/>
              <w:left w:val="nil"/>
              <w:bottom w:val="single" w:sz="4" w:space="0" w:color="D9D9D9"/>
              <w:right w:val="single" w:sz="4" w:space="0" w:color="A6A6A6"/>
            </w:tcBorders>
            <w:shd w:val="clear" w:color="000000" w:fill="1F497D"/>
            <w:vAlign w:val="center"/>
            <w:hideMark/>
          </w:tcPr>
          <w:p w:rsidR="00C21B6E" w:rsidRPr="00BE3CBA" w:rsidRDefault="00C21B6E" w:rsidP="005B63A3">
            <w:pPr>
              <w:jc w:val="center"/>
              <w:rPr>
                <w:rFonts w:eastAsia="Times New Roman"/>
                <w:b/>
                <w:bCs/>
                <w:color w:val="FFFFFF"/>
                <w:sz w:val="20"/>
                <w:szCs w:val="20"/>
                <w:lang w:eastAsia="en-GB"/>
              </w:rPr>
            </w:pPr>
            <w:r w:rsidRPr="00BE3CBA">
              <w:rPr>
                <w:rFonts w:eastAsia="Times New Roman"/>
                <w:b/>
                <w:bCs/>
                <w:color w:val="FFFFFF"/>
                <w:sz w:val="20"/>
                <w:szCs w:val="20"/>
                <w:lang w:eastAsia="en-GB"/>
              </w:rPr>
              <w:t>Industry percentage</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Higher education</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27,000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22.3%</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Hospital activities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13,000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10.7%</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Construction of residential and non-residential buildings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5,000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4.1%</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Secondary education</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4,000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3.3%</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Restaurants and mobile food service activities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3,500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2.9%</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lastRenderedPageBreak/>
              <w:t>Publishing of books, periodicals and other publishing activities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3,500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2.9%</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Manufacture of motor vehicles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2.5%</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Retail sale in non-specialised stores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2.5%</w:t>
            </w:r>
          </w:p>
        </w:tc>
      </w:tr>
      <w:tr w:rsidR="00C21B6E" w:rsidRPr="00BE3CBA" w:rsidTr="005B63A3">
        <w:trPr>
          <w:trHeight w:val="300"/>
        </w:trPr>
        <w:tc>
          <w:tcPr>
            <w:tcW w:w="5640" w:type="dxa"/>
            <w:tcBorders>
              <w:top w:val="nil"/>
              <w:left w:val="single" w:sz="4" w:space="0" w:color="A6A6A6"/>
              <w:bottom w:val="single" w:sz="4" w:space="0" w:color="D9D9D9"/>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Activities of head offices</w:t>
            </w:r>
          </w:p>
        </w:tc>
        <w:tc>
          <w:tcPr>
            <w:tcW w:w="960" w:type="dxa"/>
            <w:tcBorders>
              <w:top w:val="nil"/>
              <w:left w:val="nil"/>
              <w:bottom w:val="single" w:sz="4" w:space="0" w:color="D9D9D9"/>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3,000</w:t>
            </w:r>
          </w:p>
        </w:tc>
        <w:tc>
          <w:tcPr>
            <w:tcW w:w="1360" w:type="dxa"/>
            <w:tcBorders>
              <w:top w:val="nil"/>
              <w:left w:val="nil"/>
              <w:bottom w:val="single" w:sz="4" w:space="0" w:color="D9D9D9"/>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2.5%</w:t>
            </w:r>
          </w:p>
        </w:tc>
      </w:tr>
      <w:tr w:rsidR="00C21B6E" w:rsidRPr="00BE3CBA" w:rsidTr="005B63A3">
        <w:trPr>
          <w:trHeight w:val="300"/>
        </w:trPr>
        <w:tc>
          <w:tcPr>
            <w:tcW w:w="5640" w:type="dxa"/>
            <w:tcBorders>
              <w:top w:val="nil"/>
              <w:left w:val="single" w:sz="4" w:space="0" w:color="A6A6A6"/>
              <w:bottom w:val="single" w:sz="4" w:space="0" w:color="A6A6A6"/>
              <w:right w:val="single" w:sz="4" w:space="0" w:color="D9D9D9"/>
            </w:tcBorders>
            <w:shd w:val="clear" w:color="auto" w:fill="auto"/>
            <w:noWrap/>
            <w:hideMark/>
          </w:tcPr>
          <w:p w:rsidR="00C21B6E" w:rsidRPr="00BE3CBA" w:rsidRDefault="00C21B6E" w:rsidP="005B63A3">
            <w:pPr>
              <w:rPr>
                <w:rFonts w:eastAsia="Times New Roman"/>
                <w:sz w:val="20"/>
                <w:szCs w:val="20"/>
                <w:lang w:eastAsia="en-GB"/>
              </w:rPr>
            </w:pPr>
            <w:r w:rsidRPr="00BE3CBA">
              <w:rPr>
                <w:rFonts w:eastAsia="Times New Roman"/>
                <w:sz w:val="20"/>
                <w:szCs w:val="20"/>
                <w:lang w:eastAsia="en-GB"/>
              </w:rPr>
              <w:t>Primary education</w:t>
            </w:r>
          </w:p>
        </w:tc>
        <w:tc>
          <w:tcPr>
            <w:tcW w:w="960" w:type="dxa"/>
            <w:tcBorders>
              <w:top w:val="nil"/>
              <w:left w:val="nil"/>
              <w:bottom w:val="single" w:sz="4" w:space="0" w:color="A6A6A6"/>
              <w:right w:val="single" w:sz="4" w:space="0" w:color="D9D9D9"/>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3,000</w:t>
            </w:r>
          </w:p>
        </w:tc>
        <w:tc>
          <w:tcPr>
            <w:tcW w:w="1360" w:type="dxa"/>
            <w:tcBorders>
              <w:top w:val="nil"/>
              <w:left w:val="nil"/>
              <w:bottom w:val="single" w:sz="4" w:space="0" w:color="A6A6A6"/>
              <w:right w:val="single" w:sz="4" w:space="0" w:color="A6A6A6"/>
            </w:tcBorders>
            <w:shd w:val="clear" w:color="auto" w:fill="auto"/>
            <w:noWrap/>
            <w:hideMark/>
          </w:tcPr>
          <w:p w:rsidR="00C21B6E" w:rsidRPr="00BE3CBA" w:rsidRDefault="00C21B6E" w:rsidP="005B63A3">
            <w:pPr>
              <w:jc w:val="right"/>
              <w:rPr>
                <w:rFonts w:eastAsia="Times New Roman"/>
                <w:sz w:val="20"/>
                <w:szCs w:val="20"/>
                <w:lang w:eastAsia="en-GB"/>
              </w:rPr>
            </w:pPr>
            <w:r w:rsidRPr="00BE3CBA">
              <w:rPr>
                <w:rFonts w:eastAsia="Times New Roman"/>
                <w:sz w:val="20"/>
                <w:szCs w:val="20"/>
                <w:lang w:eastAsia="en-GB"/>
              </w:rPr>
              <w:t>2.5%</w:t>
            </w:r>
          </w:p>
        </w:tc>
      </w:tr>
    </w:tbl>
    <w:p w:rsidR="00C21B6E" w:rsidRDefault="00C21B6E" w:rsidP="00C21B6E">
      <w:pPr>
        <w:rPr>
          <w:rFonts w:asciiTheme="majorHAnsi" w:hAnsiTheme="majorHAnsi" w:cstheme="majorHAnsi"/>
          <w:sz w:val="20"/>
          <w:szCs w:val="20"/>
        </w:rPr>
      </w:pPr>
    </w:p>
    <w:p w:rsidR="00C21B6E" w:rsidRDefault="00C21B6E" w:rsidP="00C21B6E">
      <w:pPr>
        <w:rPr>
          <w:rFonts w:asciiTheme="majorHAnsi" w:hAnsiTheme="majorHAnsi" w:cstheme="majorHAnsi"/>
          <w:sz w:val="20"/>
          <w:szCs w:val="20"/>
        </w:rPr>
      </w:pPr>
      <w:r w:rsidRPr="00C075AF">
        <w:rPr>
          <w:rFonts w:asciiTheme="majorHAnsi" w:hAnsiTheme="majorHAnsi" w:cstheme="majorHAnsi"/>
          <w:sz w:val="20"/>
          <w:szCs w:val="20"/>
        </w:rPr>
        <w:t>Source: Business Register and Employment Survey 2016</w:t>
      </w:r>
    </w:p>
    <w:p w:rsidR="009E589D" w:rsidRPr="001957DD" w:rsidRDefault="009E589D" w:rsidP="009E589D">
      <w:r w:rsidRPr="001957DD">
        <w:t xml:space="preserve">. </w:t>
      </w:r>
    </w:p>
    <w:p w:rsidR="009E589D" w:rsidRDefault="009E589D" w:rsidP="009E589D">
      <w:pPr>
        <w:pStyle w:val="Heading3"/>
        <w:rPr>
          <w:b w:val="0"/>
          <w:color w:val="7F7F7F" w:themeColor="text1" w:themeTint="80"/>
          <w:sz w:val="26"/>
          <w:szCs w:val="26"/>
        </w:rPr>
      </w:pPr>
      <w:r>
        <w:rPr>
          <w:color w:val="7F7F7F" w:themeColor="text1" w:themeTint="80"/>
          <w:sz w:val="26"/>
          <w:szCs w:val="26"/>
        </w:rPr>
        <w:t>Housing Market</w:t>
      </w:r>
    </w:p>
    <w:p w:rsidR="009E589D" w:rsidRDefault="009E589D" w:rsidP="009E589D">
      <w:r>
        <w:t xml:space="preserve">Since the referendum vote in 2016, the number of sales transactions for housed in Oxford has dipped. Although the annual trend data follows the same pattern of peaking in the summer and declining until the next summer, the number of sales is proportionately lower than the levels between 2013 and 2015. </w:t>
      </w:r>
    </w:p>
    <w:p w:rsidR="009E589D" w:rsidRDefault="009E589D" w:rsidP="009E589D"/>
    <w:p w:rsidR="009E589D" w:rsidRDefault="009E589D" w:rsidP="009E589D">
      <w:r>
        <w:t>On the other hand, the average prices of houses sold in Oxford has remained relatively stable since the vote, and has actually increased since the referendum. The higher prices of houses sold indicates the housing market in Oxford has remained more resilient at the top end.</w:t>
      </w:r>
    </w:p>
    <w:p w:rsidR="009E589D" w:rsidRDefault="009E589D" w:rsidP="009E589D"/>
    <w:p w:rsidR="009E589D" w:rsidRDefault="009E589D" w:rsidP="009E589D">
      <w:pPr>
        <w:rPr>
          <w:rFonts w:asciiTheme="majorHAnsi" w:hAnsiTheme="majorHAnsi" w:cstheme="majorHAnsi"/>
          <w:sz w:val="20"/>
          <w:szCs w:val="20"/>
        </w:rPr>
      </w:pPr>
      <w:r>
        <w:rPr>
          <w:noProof/>
          <w:lang w:eastAsia="en-GB"/>
        </w:rPr>
        <w:drawing>
          <wp:inline distT="0" distB="0" distL="0" distR="0" wp14:anchorId="68BCBD1D" wp14:editId="2BAFE484">
            <wp:extent cx="5943600" cy="3655695"/>
            <wp:effectExtent l="0" t="0" r="19050" b="209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589D" w:rsidRPr="00C075AF" w:rsidRDefault="009E589D" w:rsidP="009E589D">
      <w:pPr>
        <w:rPr>
          <w:rFonts w:asciiTheme="majorHAnsi" w:hAnsiTheme="majorHAnsi" w:cstheme="majorHAnsi"/>
          <w:sz w:val="20"/>
          <w:szCs w:val="20"/>
        </w:rPr>
      </w:pPr>
      <w:r>
        <w:rPr>
          <w:rFonts w:asciiTheme="majorHAnsi" w:hAnsiTheme="majorHAnsi" w:cstheme="majorHAnsi"/>
          <w:sz w:val="20"/>
          <w:szCs w:val="20"/>
        </w:rPr>
        <w:t>Source: Land Registry 2018</w:t>
      </w:r>
    </w:p>
    <w:p w:rsidR="00BA11E2" w:rsidRDefault="00BA11E2" w:rsidP="00DF29C9">
      <w:pPr>
        <w:autoSpaceDE w:val="0"/>
        <w:autoSpaceDN w:val="0"/>
        <w:adjustRightInd w:val="0"/>
        <w:rPr>
          <w:rFonts w:eastAsia="Times New Roman"/>
          <w:b/>
          <w:lang w:eastAsia="en-GB"/>
        </w:rPr>
      </w:pPr>
    </w:p>
    <w:p w:rsidR="00BA11E2" w:rsidRDefault="00BA11E2" w:rsidP="00DF29C9">
      <w:pPr>
        <w:autoSpaceDE w:val="0"/>
        <w:autoSpaceDN w:val="0"/>
        <w:adjustRightInd w:val="0"/>
        <w:rPr>
          <w:rFonts w:eastAsia="Times New Roman"/>
          <w:b/>
          <w:lang w:eastAsia="en-GB"/>
        </w:rPr>
      </w:pPr>
    </w:p>
    <w:p w:rsidR="009E589D" w:rsidRPr="009E589D" w:rsidRDefault="009E589D" w:rsidP="00DF29C9">
      <w:pPr>
        <w:autoSpaceDE w:val="0"/>
        <w:autoSpaceDN w:val="0"/>
        <w:adjustRightInd w:val="0"/>
        <w:rPr>
          <w:rFonts w:eastAsia="Times New Roman"/>
          <w:b/>
          <w:lang w:eastAsia="en-GB"/>
        </w:rPr>
      </w:pPr>
      <w:r w:rsidRPr="009E589D">
        <w:rPr>
          <w:rFonts w:eastAsia="Times New Roman"/>
          <w:b/>
          <w:lang w:eastAsia="en-GB"/>
        </w:rPr>
        <w:t>Data Relevant To Oxford City Council</w:t>
      </w:r>
    </w:p>
    <w:p w:rsidR="009E589D" w:rsidRDefault="009E589D" w:rsidP="00DF29C9">
      <w:pPr>
        <w:autoSpaceDE w:val="0"/>
        <w:autoSpaceDN w:val="0"/>
        <w:adjustRightInd w:val="0"/>
        <w:rPr>
          <w:rFonts w:eastAsia="Times New Roman"/>
          <w:b/>
          <w:highlight w:val="yellow"/>
          <w:lang w:eastAsia="en-GB"/>
        </w:rPr>
      </w:pPr>
    </w:p>
    <w:p w:rsidR="009E589D" w:rsidRPr="009E589D" w:rsidRDefault="009E589D" w:rsidP="00F76373">
      <w:pPr>
        <w:shd w:val="clear" w:color="auto" w:fill="FFFFFF"/>
        <w:spacing w:before="240" w:after="100" w:afterAutospacing="1"/>
        <w:contextualSpacing/>
        <w:rPr>
          <w:rFonts w:eastAsia="Times New Roman"/>
          <w:b/>
          <w:lang w:eastAsia="en-GB"/>
        </w:rPr>
      </w:pPr>
      <w:r w:rsidRPr="009E589D">
        <w:rPr>
          <w:rFonts w:eastAsia="Times New Roman"/>
          <w:b/>
          <w:lang w:eastAsia="en-GB"/>
        </w:rPr>
        <w:t>Investments and Borrowing</w:t>
      </w:r>
    </w:p>
    <w:p w:rsidR="009E589D" w:rsidRPr="009E589D" w:rsidRDefault="009E589D" w:rsidP="009E589D">
      <w:pPr>
        <w:spacing w:before="100" w:beforeAutospacing="1" w:after="100" w:afterAutospacing="1"/>
        <w:ind w:left="426"/>
        <w:contextualSpacing/>
        <w:rPr>
          <w:rFonts w:eastAsia="Times New Roman"/>
          <w:b/>
          <w:lang w:eastAsia="en-GB"/>
        </w:rPr>
      </w:pPr>
      <w:r w:rsidRPr="009E589D">
        <w:rPr>
          <w:rFonts w:eastAsia="Times New Roman"/>
          <w:b/>
          <w:lang w:eastAsia="en-GB"/>
        </w:rPr>
        <w:t>Credit Rating of UK</w:t>
      </w:r>
    </w:p>
    <w:p w:rsidR="009E589D" w:rsidRPr="009E589D" w:rsidRDefault="009E589D" w:rsidP="009E589D">
      <w:pPr>
        <w:numPr>
          <w:ilvl w:val="0"/>
          <w:numId w:val="3"/>
        </w:numPr>
        <w:spacing w:before="100" w:beforeAutospacing="1" w:after="100" w:afterAutospacing="1"/>
        <w:contextualSpacing/>
        <w:rPr>
          <w:rFonts w:eastAsia="Times New Roman"/>
          <w:lang w:eastAsia="en-GB"/>
        </w:rPr>
      </w:pPr>
      <w:r w:rsidRPr="009E589D">
        <w:rPr>
          <w:rFonts w:eastAsia="Times New Roman"/>
          <w:lang w:eastAsia="en-GB"/>
        </w:rPr>
        <w:t xml:space="preserve">The UK’s Sovereign credit rating continues to stand at AA with negative outlook with all three of the main ratings agencies; Standard &amp; Poor, Fitch </w:t>
      </w:r>
      <w:r w:rsidRPr="009E589D">
        <w:rPr>
          <w:rFonts w:eastAsia="Times New Roman"/>
          <w:lang w:eastAsia="en-GB"/>
        </w:rPr>
        <w:lastRenderedPageBreak/>
        <w:t>and Moody’s. This reflects their view of the economic uncertainty following the Brexit vote and the expectation of slower UK economic growth over the medium term.</w:t>
      </w:r>
    </w:p>
    <w:p w:rsidR="009E589D" w:rsidRPr="009E589D" w:rsidRDefault="009E589D" w:rsidP="009E589D">
      <w:pPr>
        <w:numPr>
          <w:ilvl w:val="0"/>
          <w:numId w:val="3"/>
        </w:numPr>
        <w:spacing w:before="100" w:beforeAutospacing="1" w:after="100" w:afterAutospacing="1"/>
        <w:contextualSpacing/>
      </w:pPr>
      <w:r w:rsidRPr="009E589D">
        <w:t xml:space="preserve">The UK continues to be deemed less credit worthy than the US, Australia, Canada, Denmark, Germany, Holland, Singapore, Sweden and Switzerland. </w:t>
      </w:r>
    </w:p>
    <w:p w:rsidR="009E589D" w:rsidRPr="009E589D" w:rsidRDefault="009E589D" w:rsidP="009E589D">
      <w:pPr>
        <w:numPr>
          <w:ilvl w:val="0"/>
          <w:numId w:val="3"/>
        </w:numPr>
        <w:spacing w:before="100" w:beforeAutospacing="1" w:after="100" w:afterAutospacing="1"/>
        <w:contextualSpacing/>
        <w:rPr>
          <w:rFonts w:eastAsia="Times New Roman"/>
          <w:lang w:eastAsia="en-GB"/>
        </w:rPr>
      </w:pPr>
      <w:r w:rsidRPr="009E589D">
        <w:rPr>
          <w:rFonts w:eastAsia="Times New Roman"/>
          <w:lang w:eastAsia="en-GB"/>
        </w:rPr>
        <w:t>The shareholders of the European Investment Bank (EIB) are the 28 Member States of the European Union and the UK has a 16.11% shareholding in the EIB.  This position has not changed since the Brexit referendum or the subsequent triggering of Article 50</w:t>
      </w:r>
    </w:p>
    <w:p w:rsidR="009E589D" w:rsidRPr="009E589D" w:rsidRDefault="009E589D" w:rsidP="009E589D">
      <w:pPr>
        <w:spacing w:before="100" w:beforeAutospacing="1" w:after="100" w:afterAutospacing="1"/>
        <w:ind w:left="1080"/>
        <w:contextualSpacing/>
        <w:rPr>
          <w:rFonts w:eastAsia="Times New Roman"/>
          <w:highlight w:val="yellow"/>
          <w:lang w:eastAsia="en-GB"/>
        </w:rPr>
      </w:pPr>
    </w:p>
    <w:p w:rsidR="00BA11E2" w:rsidRDefault="00BA11E2" w:rsidP="00F76373">
      <w:pPr>
        <w:shd w:val="clear" w:color="auto" w:fill="FFFFFF"/>
        <w:spacing w:before="240" w:after="100" w:afterAutospacing="1"/>
        <w:contextualSpacing/>
        <w:outlineLvl w:val="1"/>
        <w:rPr>
          <w:rFonts w:eastAsia="Times New Roman"/>
          <w:b/>
          <w:bCs/>
          <w:lang w:eastAsia="en-GB"/>
        </w:rPr>
      </w:pPr>
    </w:p>
    <w:p w:rsidR="00BA11E2" w:rsidRDefault="00BA11E2" w:rsidP="00F76373">
      <w:pPr>
        <w:shd w:val="clear" w:color="auto" w:fill="FFFFFF"/>
        <w:spacing w:before="240" w:after="100" w:afterAutospacing="1"/>
        <w:contextualSpacing/>
        <w:outlineLvl w:val="1"/>
        <w:rPr>
          <w:rFonts w:eastAsia="Times New Roman"/>
          <w:b/>
          <w:bCs/>
          <w:lang w:eastAsia="en-GB"/>
        </w:rPr>
      </w:pPr>
    </w:p>
    <w:p w:rsidR="00BA11E2" w:rsidRDefault="00BA11E2" w:rsidP="00F76373">
      <w:pPr>
        <w:shd w:val="clear" w:color="auto" w:fill="FFFFFF"/>
        <w:spacing w:before="240" w:after="100" w:afterAutospacing="1"/>
        <w:contextualSpacing/>
        <w:outlineLvl w:val="1"/>
        <w:rPr>
          <w:rFonts w:eastAsia="Times New Roman"/>
          <w:b/>
          <w:bCs/>
          <w:lang w:eastAsia="en-GB"/>
        </w:rPr>
      </w:pPr>
    </w:p>
    <w:p w:rsidR="009E589D" w:rsidRPr="009E589D" w:rsidRDefault="009E589D" w:rsidP="00F76373">
      <w:pPr>
        <w:shd w:val="clear" w:color="auto" w:fill="FFFFFF"/>
        <w:spacing w:before="240" w:after="100" w:afterAutospacing="1"/>
        <w:contextualSpacing/>
        <w:outlineLvl w:val="1"/>
        <w:rPr>
          <w:rFonts w:eastAsia="Times New Roman"/>
          <w:b/>
          <w:bCs/>
          <w:lang w:eastAsia="en-GB"/>
        </w:rPr>
      </w:pPr>
      <w:r w:rsidRPr="009E589D">
        <w:rPr>
          <w:rFonts w:eastAsia="Times New Roman"/>
          <w:b/>
          <w:bCs/>
          <w:lang w:eastAsia="en-GB"/>
        </w:rPr>
        <w:t>Interest rates</w:t>
      </w:r>
    </w:p>
    <w:p w:rsidR="009E589D" w:rsidRPr="009E589D" w:rsidRDefault="009E589D" w:rsidP="009E589D">
      <w:pPr>
        <w:shd w:val="clear" w:color="auto" w:fill="FFFFFF"/>
        <w:spacing w:before="240" w:after="100" w:afterAutospacing="1"/>
        <w:ind w:left="426"/>
        <w:rPr>
          <w:rFonts w:eastAsia="Times New Roman"/>
          <w:lang w:eastAsia="en-GB"/>
        </w:rPr>
      </w:pPr>
      <w:r w:rsidRPr="009E589D">
        <w:rPr>
          <w:rFonts w:eastAsia="Times New Roman"/>
          <w:lang w:eastAsia="en-GB"/>
        </w:rPr>
        <w:t xml:space="preserve">In November 207, the Bank of England's Monetary Policy Committee voted to increase base rate back to 0.50% following its previous decision to cut base rate to 0.25% in August 2016.  </w:t>
      </w:r>
    </w:p>
    <w:p w:rsidR="009E589D" w:rsidRPr="009E589D" w:rsidRDefault="009E589D" w:rsidP="009E589D">
      <w:pPr>
        <w:shd w:val="clear" w:color="auto" w:fill="FFFFFF"/>
        <w:spacing w:before="240" w:after="100" w:afterAutospacing="1"/>
        <w:ind w:left="426"/>
      </w:pPr>
      <w:r w:rsidRPr="009E589D">
        <w:t>There was further speculation of a subsequent base rate rise in May 2018 but this did not materialise following a 7-2 vote in favour of holding base rate at 0.5%</w:t>
      </w:r>
    </w:p>
    <w:p w:rsidR="009E589D" w:rsidRPr="009E589D" w:rsidRDefault="009E589D" w:rsidP="009E589D">
      <w:pPr>
        <w:shd w:val="clear" w:color="auto" w:fill="FFFFFF"/>
        <w:spacing w:before="240" w:after="100" w:afterAutospacing="1"/>
        <w:ind w:left="426"/>
      </w:pPr>
      <w:r w:rsidRPr="009E589D">
        <w:t>Link Asset Services, the Council’s Treasury advisors have revised their interest rate forecasts and do not expect a further rise until November 2018. This is shown in the table below. However, Link has also stated that much of their forecast will depend on how the Brexit negotiations stand and what levels of uncertainty will remain in respect of the UK’s future engagement with the EU.</w:t>
      </w:r>
    </w:p>
    <w:p w:rsidR="009E589D" w:rsidRPr="009E589D" w:rsidRDefault="009E589D" w:rsidP="009E589D">
      <w:pPr>
        <w:shd w:val="clear" w:color="auto" w:fill="FFFFFF"/>
        <w:spacing w:before="240" w:after="100" w:afterAutospacing="1"/>
        <w:ind w:left="426"/>
      </w:pPr>
      <w:r w:rsidRPr="009E589D">
        <w:rPr>
          <w:noProof/>
          <w:lang w:eastAsia="en-GB"/>
        </w:rPr>
        <w:drawing>
          <wp:inline distT="0" distB="0" distL="0" distR="0" wp14:anchorId="13626908" wp14:editId="41641EDD">
            <wp:extent cx="5731510" cy="128530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1285303"/>
                    </a:xfrm>
                    <a:prstGeom prst="rect">
                      <a:avLst/>
                    </a:prstGeom>
                  </pic:spPr>
                </pic:pic>
              </a:graphicData>
            </a:graphic>
          </wp:inline>
        </w:drawing>
      </w:r>
    </w:p>
    <w:p w:rsidR="009E589D" w:rsidRPr="009E589D" w:rsidRDefault="009E589D" w:rsidP="009E589D">
      <w:pPr>
        <w:shd w:val="clear" w:color="auto" w:fill="FFFFFF"/>
        <w:spacing w:before="240" w:after="100" w:afterAutospacing="1"/>
        <w:ind w:left="720"/>
      </w:pPr>
      <w:r w:rsidRPr="009E589D">
        <w:t xml:space="preserve">PWLB borrowing rates continue to fluctuate but remain at an all-time low.  The chart below illustrates the movement in rates from November 2017 to May 2018. </w:t>
      </w:r>
    </w:p>
    <w:p w:rsidR="009E589D" w:rsidRPr="009E589D" w:rsidRDefault="009E589D" w:rsidP="009E589D">
      <w:pPr>
        <w:shd w:val="clear" w:color="auto" w:fill="FFFFFF"/>
        <w:spacing w:before="240" w:after="100" w:afterAutospacing="1"/>
        <w:ind w:left="720"/>
      </w:pPr>
      <w:r w:rsidRPr="009E589D">
        <w:rPr>
          <w:noProof/>
          <w:lang w:eastAsia="en-GB"/>
        </w:rPr>
        <w:lastRenderedPageBreak/>
        <w:drawing>
          <wp:inline distT="0" distB="0" distL="0" distR="0" wp14:anchorId="3900DEA6" wp14:editId="716A6264">
            <wp:extent cx="5813328" cy="378555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5381" cy="3786889"/>
                    </a:xfrm>
                    <a:prstGeom prst="rect">
                      <a:avLst/>
                    </a:prstGeom>
                    <a:noFill/>
                  </pic:spPr>
                </pic:pic>
              </a:graphicData>
            </a:graphic>
          </wp:inline>
        </w:drawing>
      </w:r>
    </w:p>
    <w:p w:rsidR="009E589D" w:rsidRPr="009E589D" w:rsidRDefault="009E589D" w:rsidP="009E589D">
      <w:pPr>
        <w:shd w:val="clear" w:color="auto" w:fill="FFFFFF"/>
        <w:spacing w:before="240" w:after="100" w:afterAutospacing="1"/>
        <w:ind w:left="720"/>
        <w:jc w:val="center"/>
      </w:pPr>
    </w:p>
    <w:p w:rsidR="009E589D" w:rsidRPr="009E589D" w:rsidRDefault="009E589D" w:rsidP="00F76373">
      <w:pPr>
        <w:contextualSpacing/>
        <w:rPr>
          <w:b/>
        </w:rPr>
      </w:pPr>
      <w:r w:rsidRPr="009E589D">
        <w:rPr>
          <w:b/>
        </w:rPr>
        <w:t>City Council Investments</w:t>
      </w:r>
    </w:p>
    <w:p w:rsidR="009E589D" w:rsidRPr="009E589D" w:rsidRDefault="009E589D" w:rsidP="00BA11E2">
      <w:pPr>
        <w:pStyle w:val="ListParagraph"/>
        <w:numPr>
          <w:ilvl w:val="0"/>
          <w:numId w:val="27"/>
        </w:numPr>
        <w:ind w:left="851" w:hanging="284"/>
      </w:pPr>
      <w:r w:rsidRPr="009E589D">
        <w:t>As at the 31</w:t>
      </w:r>
      <w:r w:rsidRPr="00BA11E2">
        <w:rPr>
          <w:vertAlign w:val="superscript"/>
        </w:rPr>
        <w:t>st</w:t>
      </w:r>
      <w:r w:rsidRPr="009E589D">
        <w:t xml:space="preserve"> May 2018, the Council held £92.01 million of Investments </w:t>
      </w:r>
    </w:p>
    <w:p w:rsidR="009E589D" w:rsidRPr="00B21BAF" w:rsidRDefault="009E589D" w:rsidP="009E589D">
      <w:pPr>
        <w:ind w:left="720"/>
        <w:jc w:val="center"/>
      </w:pPr>
    </w:p>
    <w:p w:rsidR="009E589D" w:rsidRDefault="009E589D" w:rsidP="009E589D">
      <w:pPr>
        <w:numPr>
          <w:ilvl w:val="0"/>
          <w:numId w:val="5"/>
        </w:numPr>
        <w:autoSpaceDE w:val="0"/>
        <w:autoSpaceDN w:val="0"/>
        <w:ind w:left="851"/>
        <w:rPr>
          <w:color w:val="000000"/>
        </w:rPr>
      </w:pPr>
      <w:r w:rsidRPr="00B21BAF">
        <w:rPr>
          <w:color w:val="000000"/>
        </w:rPr>
        <w:t>Average investment returns in Ju</w:t>
      </w:r>
      <w:r w:rsidR="00FD4C39" w:rsidRPr="00B21BAF">
        <w:rPr>
          <w:color w:val="000000"/>
        </w:rPr>
        <w:t>ne</w:t>
      </w:r>
      <w:r w:rsidRPr="00B21BAF">
        <w:rPr>
          <w:color w:val="000000"/>
        </w:rPr>
        <w:t xml:space="preserve"> 201</w:t>
      </w:r>
      <w:r w:rsidR="00FD4C39" w:rsidRPr="00B21BAF">
        <w:rPr>
          <w:color w:val="000000"/>
        </w:rPr>
        <w:t>6</w:t>
      </w:r>
      <w:r w:rsidRPr="00B21BAF">
        <w:rPr>
          <w:color w:val="000000"/>
        </w:rPr>
        <w:t xml:space="preserve"> was </w:t>
      </w:r>
      <w:r w:rsidR="00B21BAF" w:rsidRPr="00B21BAF">
        <w:rPr>
          <w:color w:val="000000"/>
        </w:rPr>
        <w:t xml:space="preserve">0.71% </w:t>
      </w:r>
      <w:r w:rsidRPr="00B21BAF">
        <w:rPr>
          <w:color w:val="000000"/>
        </w:rPr>
        <w:t xml:space="preserve">for banks and building societies excluding property funds and </w:t>
      </w:r>
      <w:r w:rsidR="00B21BAF" w:rsidRPr="00B21BAF">
        <w:rPr>
          <w:color w:val="000000"/>
        </w:rPr>
        <w:t xml:space="preserve">1.17% </w:t>
      </w:r>
      <w:r w:rsidRPr="00B21BAF">
        <w:rPr>
          <w:color w:val="000000"/>
        </w:rPr>
        <w:t xml:space="preserve">including property funds. </w:t>
      </w:r>
      <w:r w:rsidR="00FD4C39" w:rsidRPr="00B21BAF">
        <w:rPr>
          <w:color w:val="000000"/>
        </w:rPr>
        <w:t xml:space="preserve">Comparable current returns are </w:t>
      </w:r>
      <w:r w:rsidR="00B21BAF" w:rsidRPr="00B21BAF">
        <w:rPr>
          <w:color w:val="000000"/>
        </w:rPr>
        <w:t xml:space="preserve">0.69% excluding property funds and 1.15% including property funds. </w:t>
      </w:r>
    </w:p>
    <w:p w:rsidR="00B21BAF" w:rsidRDefault="00B21BAF" w:rsidP="00B21BAF">
      <w:pPr>
        <w:autoSpaceDE w:val="0"/>
        <w:autoSpaceDN w:val="0"/>
        <w:ind w:left="851"/>
        <w:rPr>
          <w:color w:val="000000"/>
        </w:rPr>
      </w:pPr>
    </w:p>
    <w:p w:rsidR="00B21BAF" w:rsidRPr="00B21BAF" w:rsidRDefault="00B21BAF" w:rsidP="009E589D">
      <w:pPr>
        <w:numPr>
          <w:ilvl w:val="0"/>
          <w:numId w:val="5"/>
        </w:numPr>
        <w:autoSpaceDE w:val="0"/>
        <w:autoSpaceDN w:val="0"/>
        <w:ind w:left="851"/>
        <w:rPr>
          <w:color w:val="000000"/>
        </w:rPr>
      </w:pPr>
      <w:r>
        <w:rPr>
          <w:color w:val="000000"/>
        </w:rPr>
        <w:t>The graph below shows the Council’s movement in the weighted average rate of return between April 2016 and May 2018.</w:t>
      </w:r>
    </w:p>
    <w:p w:rsidR="00B21BAF" w:rsidRDefault="00B21BAF" w:rsidP="00B21BAF">
      <w:pPr>
        <w:autoSpaceDE w:val="0"/>
        <w:autoSpaceDN w:val="0"/>
        <w:ind w:left="851"/>
        <w:jc w:val="center"/>
        <w:rPr>
          <w:color w:val="000000"/>
          <w:highlight w:val="yellow"/>
        </w:rPr>
      </w:pPr>
      <w:r>
        <w:rPr>
          <w:noProof/>
          <w:color w:val="000000"/>
          <w:lang w:eastAsia="en-GB"/>
        </w:rPr>
        <w:lastRenderedPageBreak/>
        <w:drawing>
          <wp:inline distT="0" distB="0" distL="0" distR="0" wp14:anchorId="05CE6A69" wp14:editId="5AD4ECF9">
            <wp:extent cx="5114925" cy="36751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1513" cy="3679918"/>
                    </a:xfrm>
                    <a:prstGeom prst="rect">
                      <a:avLst/>
                    </a:prstGeom>
                    <a:noFill/>
                  </pic:spPr>
                </pic:pic>
              </a:graphicData>
            </a:graphic>
          </wp:inline>
        </w:drawing>
      </w:r>
    </w:p>
    <w:p w:rsidR="00B21BAF" w:rsidRDefault="00B21BAF" w:rsidP="00B21BAF">
      <w:pPr>
        <w:autoSpaceDE w:val="0"/>
        <w:autoSpaceDN w:val="0"/>
        <w:ind w:left="851"/>
        <w:jc w:val="center"/>
        <w:rPr>
          <w:color w:val="000000"/>
          <w:highlight w:val="yellow"/>
        </w:rPr>
      </w:pPr>
    </w:p>
    <w:p w:rsidR="00B21BAF" w:rsidRDefault="00B21BAF" w:rsidP="007962C8">
      <w:pPr>
        <w:pStyle w:val="Default"/>
        <w:numPr>
          <w:ilvl w:val="0"/>
          <w:numId w:val="5"/>
        </w:numPr>
        <w:ind w:left="851" w:hanging="425"/>
      </w:pPr>
      <w:r>
        <w:t>When the Bank of England initially reduced base rate in August 2016, the effect on the Council’s investments was not immediate due to the majority of its investments being held in term deposits which were held at a fixed rate, thereby offering some form of protection to the</w:t>
      </w:r>
      <w:r w:rsidR="00C24778">
        <w:t xml:space="preserve"> interest</w:t>
      </w:r>
      <w:r>
        <w:t xml:space="preserve"> levels </w:t>
      </w:r>
      <w:r w:rsidR="00C24778">
        <w:t>earned.</w:t>
      </w:r>
    </w:p>
    <w:p w:rsidR="00C24778" w:rsidRDefault="00C24778" w:rsidP="00C24778">
      <w:pPr>
        <w:pStyle w:val="Default"/>
        <w:ind w:left="851"/>
      </w:pPr>
    </w:p>
    <w:p w:rsidR="00C24778" w:rsidRDefault="00C24778" w:rsidP="007962C8">
      <w:pPr>
        <w:pStyle w:val="Default"/>
        <w:numPr>
          <w:ilvl w:val="0"/>
          <w:numId w:val="5"/>
        </w:numPr>
        <w:ind w:left="851" w:hanging="425"/>
      </w:pPr>
      <w:r>
        <w:t xml:space="preserve">However, the reserve effect of this was seen in November 2017 when the Bank of England raised base rate back to 0.5%. Investments that were in place at the time of this change did not see the benefit of the rate rise until the deposits were due to mature, at which time they were reinvested at a higher rate of interest. </w:t>
      </w:r>
    </w:p>
    <w:p w:rsidR="00C24778" w:rsidRDefault="00C24778" w:rsidP="00C24778">
      <w:pPr>
        <w:pStyle w:val="ListParagraph"/>
      </w:pPr>
    </w:p>
    <w:p w:rsidR="00B21BAF" w:rsidRDefault="00C24778" w:rsidP="00B21BAF">
      <w:pPr>
        <w:pStyle w:val="Default"/>
        <w:numPr>
          <w:ilvl w:val="0"/>
          <w:numId w:val="5"/>
        </w:numPr>
        <w:ind w:left="851" w:hanging="425"/>
      </w:pPr>
      <w:r>
        <w:t xml:space="preserve">The risk of rising/falling interest rates is managed by strategically planning when to invest and giving due consideration to the duration periods. However, the risk of security and liquidity are of greater concern and so the Council’s officers manage these three risks through active management and review of the Council’s investment portfolio and </w:t>
      </w:r>
      <w:proofErr w:type="spellStart"/>
      <w:r>
        <w:t>cashflow</w:t>
      </w:r>
      <w:proofErr w:type="spellEnd"/>
      <w:r>
        <w:t xml:space="preserve"> requirements. </w:t>
      </w:r>
    </w:p>
    <w:p w:rsidR="00C24778" w:rsidRDefault="00C24778" w:rsidP="00C24778">
      <w:pPr>
        <w:pStyle w:val="ListParagraph"/>
      </w:pPr>
    </w:p>
    <w:p w:rsidR="007962C8" w:rsidRDefault="007962C8" w:rsidP="007962C8">
      <w:pPr>
        <w:pStyle w:val="Default"/>
        <w:numPr>
          <w:ilvl w:val="0"/>
          <w:numId w:val="5"/>
        </w:numPr>
        <w:ind w:left="851" w:hanging="425"/>
      </w:pPr>
      <w:r w:rsidRPr="004A1159">
        <w:t xml:space="preserve">Within the </w:t>
      </w:r>
      <w:r>
        <w:t xml:space="preserve">draft </w:t>
      </w:r>
      <w:r w:rsidRPr="004A1159">
        <w:t xml:space="preserve">medium term financial plan </w:t>
      </w:r>
      <w:r w:rsidRPr="005B076C">
        <w:t>for 2019/20 an amount of £780k has been included for investment interest based on an average interest rate of 0.97% excluding property funds and 1.78% including</w:t>
      </w:r>
      <w:r w:rsidRPr="004A1159">
        <w:t xml:space="preserve"> property funds.  </w:t>
      </w:r>
    </w:p>
    <w:p w:rsidR="009E589D" w:rsidRPr="009E589D" w:rsidRDefault="009E589D" w:rsidP="00F76373">
      <w:pPr>
        <w:autoSpaceDE w:val="0"/>
        <w:autoSpaceDN w:val="0"/>
        <w:rPr>
          <w:b/>
          <w:color w:val="000000"/>
        </w:rPr>
      </w:pPr>
      <w:r w:rsidRPr="009E589D">
        <w:rPr>
          <w:b/>
          <w:color w:val="000000"/>
        </w:rPr>
        <w:t>Property Funds</w:t>
      </w:r>
    </w:p>
    <w:p w:rsidR="009E589D" w:rsidRPr="009E589D" w:rsidRDefault="009E589D" w:rsidP="009E589D">
      <w:pPr>
        <w:autoSpaceDE w:val="0"/>
        <w:autoSpaceDN w:val="0"/>
        <w:ind w:left="426"/>
        <w:rPr>
          <w:color w:val="000000"/>
        </w:rPr>
      </w:pPr>
      <w:r w:rsidRPr="009E589D">
        <w:rPr>
          <w:color w:val="000000"/>
        </w:rPr>
        <w:t xml:space="preserve">The Council has invested in three property funds.  The primary reason for the Council investing in the CCLA and </w:t>
      </w:r>
      <w:proofErr w:type="spellStart"/>
      <w:r w:rsidRPr="009E589D">
        <w:rPr>
          <w:color w:val="000000"/>
        </w:rPr>
        <w:t>Lothbury</w:t>
      </w:r>
      <w:proofErr w:type="spellEnd"/>
      <w:r w:rsidRPr="009E589D">
        <w:rPr>
          <w:color w:val="000000"/>
        </w:rPr>
        <w:t xml:space="preserve"> property funds was to achieve a revenue return.  Following the Brexit vote, the capital value of these funds fell, as concerns over slower economic growth and in turn demand for commercial/office property grew.  As those concerns eased, both funds have not only recovered, but actually surpassed their pre-Brexit position. Both funds are still significantly above their purchase value.  Investments in property funds are long term and it </w:t>
      </w:r>
      <w:r w:rsidRPr="009E589D">
        <w:rPr>
          <w:color w:val="000000"/>
        </w:rPr>
        <w:lastRenderedPageBreak/>
        <w:t>is expected that there will be fluctuations in the capital value throughout the period that the property fund investments are held.  More detail on the property funds in which the Council holds investments are as follows:</w:t>
      </w:r>
    </w:p>
    <w:p w:rsidR="009E589D" w:rsidRPr="009E589D" w:rsidRDefault="009E589D" w:rsidP="009E589D">
      <w:pPr>
        <w:autoSpaceDE w:val="0"/>
        <w:autoSpaceDN w:val="0"/>
        <w:ind w:left="720"/>
        <w:rPr>
          <w:color w:val="000000"/>
          <w:highlight w:val="yellow"/>
        </w:rPr>
      </w:pPr>
    </w:p>
    <w:p w:rsidR="009E589D" w:rsidRPr="009E589D" w:rsidRDefault="009E589D" w:rsidP="009E589D">
      <w:pPr>
        <w:numPr>
          <w:ilvl w:val="1"/>
          <w:numId w:val="5"/>
        </w:numPr>
        <w:autoSpaceDE w:val="0"/>
        <w:autoSpaceDN w:val="0"/>
        <w:ind w:left="1134"/>
        <w:rPr>
          <w:color w:val="000000"/>
        </w:rPr>
      </w:pPr>
      <w:r w:rsidRPr="009E589D">
        <w:rPr>
          <w:b/>
          <w:color w:val="000000"/>
        </w:rPr>
        <w:t>CCLA</w:t>
      </w:r>
      <w:r w:rsidRPr="009E589D">
        <w:rPr>
          <w:color w:val="000000"/>
        </w:rPr>
        <w:t xml:space="preserve"> – £3 million investment in the Local Authorities Property Fund held in two tranches.  The total capital value as at the end of May 2018 was  £3,847,072</w:t>
      </w:r>
    </w:p>
    <w:p w:rsidR="009E589D" w:rsidRPr="009E589D" w:rsidRDefault="009E589D" w:rsidP="009E589D">
      <w:pPr>
        <w:numPr>
          <w:ilvl w:val="1"/>
          <w:numId w:val="5"/>
        </w:numPr>
        <w:autoSpaceDE w:val="0"/>
        <w:autoSpaceDN w:val="0"/>
        <w:ind w:left="1134"/>
        <w:rPr>
          <w:color w:val="000000"/>
        </w:rPr>
      </w:pPr>
      <w:r w:rsidRPr="009E589D">
        <w:rPr>
          <w:color w:val="000000"/>
        </w:rPr>
        <w:t xml:space="preserve">The Council has enjoyed growth since joining the Fund although the Brexit result did have a considerable effect on the net asset value as shown on the chart below.  It has fully recovered from any dips in value and the fund managers are confident the Fund will continue to grow via careful asset selection, tenant management and property improvement.  </w:t>
      </w:r>
    </w:p>
    <w:p w:rsidR="009E589D" w:rsidRPr="009E589D" w:rsidRDefault="009E589D" w:rsidP="009E589D">
      <w:pPr>
        <w:numPr>
          <w:ilvl w:val="1"/>
          <w:numId w:val="5"/>
        </w:numPr>
        <w:autoSpaceDE w:val="0"/>
        <w:autoSpaceDN w:val="0"/>
        <w:ind w:left="1134"/>
        <w:rPr>
          <w:color w:val="000000"/>
        </w:rPr>
      </w:pPr>
      <w:r w:rsidRPr="009E589D">
        <w:rPr>
          <w:color w:val="000000"/>
        </w:rPr>
        <w:t>As at 31</w:t>
      </w:r>
      <w:r w:rsidRPr="009E589D">
        <w:rPr>
          <w:color w:val="000000"/>
          <w:vertAlign w:val="superscript"/>
        </w:rPr>
        <w:t>st</w:t>
      </w:r>
      <w:r w:rsidRPr="009E589D">
        <w:rPr>
          <w:color w:val="000000"/>
        </w:rPr>
        <w:t xml:space="preserve"> May 2018,  the fund size has grown to £1.026 billion</w:t>
      </w:r>
    </w:p>
    <w:p w:rsidR="009E589D" w:rsidRPr="009E589D" w:rsidRDefault="009E589D" w:rsidP="009E589D">
      <w:pPr>
        <w:numPr>
          <w:ilvl w:val="1"/>
          <w:numId w:val="5"/>
        </w:numPr>
        <w:autoSpaceDE w:val="0"/>
        <w:autoSpaceDN w:val="0"/>
        <w:ind w:left="1134"/>
        <w:rPr>
          <w:color w:val="000000"/>
        </w:rPr>
      </w:pPr>
      <w:r w:rsidRPr="009E589D">
        <w:rPr>
          <w:color w:val="000000"/>
        </w:rPr>
        <w:t>The Fund managers believe the portfolio of properties remains attractive with strong and robust long-term tenants, low void rates of 4.8%, no gearing and relatively low exposure to City of London and Central London properties</w:t>
      </w:r>
    </w:p>
    <w:p w:rsidR="009E589D" w:rsidRPr="009E589D" w:rsidRDefault="009E589D" w:rsidP="009E589D">
      <w:pPr>
        <w:numPr>
          <w:ilvl w:val="1"/>
          <w:numId w:val="5"/>
        </w:numPr>
        <w:autoSpaceDE w:val="0"/>
        <w:autoSpaceDN w:val="0"/>
        <w:ind w:left="1134"/>
        <w:rPr>
          <w:color w:val="000000"/>
        </w:rPr>
      </w:pPr>
      <w:r w:rsidRPr="009E589D">
        <w:rPr>
          <w:color w:val="000000"/>
        </w:rPr>
        <w:t>The Fund still allows redemptions</w:t>
      </w:r>
    </w:p>
    <w:p w:rsidR="009E589D" w:rsidRPr="009E589D" w:rsidRDefault="009E589D" w:rsidP="009E589D">
      <w:pPr>
        <w:autoSpaceDE w:val="0"/>
        <w:autoSpaceDN w:val="0"/>
        <w:ind w:left="1134"/>
        <w:rPr>
          <w:color w:val="000000"/>
        </w:rPr>
      </w:pPr>
    </w:p>
    <w:p w:rsidR="009E589D" w:rsidRPr="009E589D" w:rsidRDefault="009E589D" w:rsidP="009E589D">
      <w:pPr>
        <w:autoSpaceDE w:val="0"/>
        <w:autoSpaceDN w:val="0"/>
        <w:ind w:left="1440"/>
        <w:rPr>
          <w:color w:val="000000"/>
          <w:highlight w:val="yellow"/>
        </w:rPr>
      </w:pPr>
    </w:p>
    <w:p w:rsidR="009E589D" w:rsidRPr="009E589D" w:rsidRDefault="009E589D" w:rsidP="009E589D">
      <w:pPr>
        <w:autoSpaceDE w:val="0"/>
        <w:autoSpaceDN w:val="0"/>
        <w:ind w:left="567"/>
        <w:jc w:val="center"/>
        <w:rPr>
          <w:color w:val="000000"/>
        </w:rPr>
      </w:pPr>
      <w:r w:rsidRPr="009E589D">
        <w:rPr>
          <w:noProof/>
          <w:color w:val="000000"/>
          <w:lang w:eastAsia="en-GB"/>
        </w:rPr>
        <w:drawing>
          <wp:inline distT="0" distB="0" distL="0" distR="0" wp14:anchorId="3593FA74" wp14:editId="08FC007F">
            <wp:extent cx="5057775" cy="33044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61522" cy="3306884"/>
                    </a:xfrm>
                    <a:prstGeom prst="rect">
                      <a:avLst/>
                    </a:prstGeom>
                    <a:noFill/>
                  </pic:spPr>
                </pic:pic>
              </a:graphicData>
            </a:graphic>
          </wp:inline>
        </w:drawing>
      </w:r>
    </w:p>
    <w:p w:rsidR="009E589D" w:rsidRPr="009E589D" w:rsidRDefault="009E589D" w:rsidP="009E589D">
      <w:pPr>
        <w:autoSpaceDE w:val="0"/>
        <w:autoSpaceDN w:val="0"/>
        <w:ind w:left="567"/>
        <w:rPr>
          <w:color w:val="000000"/>
        </w:rPr>
      </w:pPr>
    </w:p>
    <w:p w:rsidR="009E589D" w:rsidRPr="009E589D" w:rsidRDefault="009E589D" w:rsidP="009E589D">
      <w:pPr>
        <w:autoSpaceDE w:val="0"/>
        <w:autoSpaceDN w:val="0"/>
        <w:ind w:left="567"/>
        <w:rPr>
          <w:color w:val="000000"/>
        </w:rPr>
      </w:pPr>
      <w:r w:rsidRPr="009E589D">
        <w:rPr>
          <w:color w:val="000000"/>
        </w:rPr>
        <w:t>The pie chart below shows the asset allocation by type of the Fund.</w:t>
      </w:r>
    </w:p>
    <w:p w:rsidR="009E589D" w:rsidRPr="009E589D" w:rsidRDefault="009E589D" w:rsidP="009E589D">
      <w:pPr>
        <w:autoSpaceDE w:val="0"/>
        <w:autoSpaceDN w:val="0"/>
        <w:ind w:left="1440"/>
        <w:rPr>
          <w:i/>
          <w:color w:val="000000"/>
          <w:highlight w:val="yellow"/>
        </w:rPr>
      </w:pPr>
    </w:p>
    <w:p w:rsidR="009E589D" w:rsidRPr="009E589D" w:rsidRDefault="009E589D" w:rsidP="009E589D">
      <w:pPr>
        <w:autoSpaceDE w:val="0"/>
        <w:autoSpaceDN w:val="0"/>
        <w:ind w:left="1440"/>
        <w:rPr>
          <w:color w:val="000000"/>
          <w:highlight w:val="yellow"/>
        </w:rPr>
      </w:pPr>
      <w:r w:rsidRPr="009E589D">
        <w:rPr>
          <w:noProof/>
          <w:color w:val="000000"/>
          <w:lang w:eastAsia="en-GB"/>
        </w:rPr>
        <w:lastRenderedPageBreak/>
        <w:drawing>
          <wp:inline distT="0" distB="0" distL="0" distR="0" wp14:anchorId="46ABBF22" wp14:editId="45D061A1">
            <wp:extent cx="512445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89D" w:rsidRPr="009E589D" w:rsidRDefault="009E589D" w:rsidP="009E589D">
      <w:pPr>
        <w:autoSpaceDE w:val="0"/>
        <w:autoSpaceDN w:val="0"/>
        <w:ind w:left="1440"/>
        <w:rPr>
          <w:color w:val="000000"/>
          <w:highlight w:val="yellow"/>
        </w:rPr>
      </w:pPr>
    </w:p>
    <w:p w:rsidR="009E589D" w:rsidRPr="009E589D" w:rsidRDefault="009E589D" w:rsidP="009E589D">
      <w:pPr>
        <w:autoSpaceDE w:val="0"/>
        <w:autoSpaceDN w:val="0"/>
        <w:ind w:left="1440"/>
        <w:rPr>
          <w:color w:val="000000"/>
          <w:highlight w:val="yellow"/>
        </w:rPr>
      </w:pPr>
    </w:p>
    <w:p w:rsidR="009E589D" w:rsidRPr="009E589D" w:rsidRDefault="009E589D" w:rsidP="009E589D">
      <w:pPr>
        <w:numPr>
          <w:ilvl w:val="1"/>
          <w:numId w:val="5"/>
        </w:numPr>
        <w:autoSpaceDE w:val="0"/>
        <w:autoSpaceDN w:val="0"/>
        <w:ind w:left="1134"/>
        <w:rPr>
          <w:color w:val="000000"/>
        </w:rPr>
      </w:pPr>
      <w:proofErr w:type="spellStart"/>
      <w:r w:rsidRPr="009E589D">
        <w:rPr>
          <w:b/>
          <w:color w:val="000000"/>
        </w:rPr>
        <w:t>Lothbury</w:t>
      </w:r>
      <w:proofErr w:type="spellEnd"/>
      <w:r w:rsidRPr="009E589D">
        <w:rPr>
          <w:b/>
          <w:color w:val="000000"/>
        </w:rPr>
        <w:t xml:space="preserve"> </w:t>
      </w:r>
      <w:r w:rsidRPr="009E589D">
        <w:rPr>
          <w:color w:val="000000"/>
        </w:rPr>
        <w:t xml:space="preserve">– £7 million is currently invested in the </w:t>
      </w:r>
      <w:proofErr w:type="spellStart"/>
      <w:r w:rsidRPr="009E589D">
        <w:rPr>
          <w:color w:val="000000"/>
        </w:rPr>
        <w:t>Lothbury</w:t>
      </w:r>
      <w:proofErr w:type="spellEnd"/>
      <w:r w:rsidRPr="009E589D">
        <w:rPr>
          <w:color w:val="000000"/>
        </w:rPr>
        <w:t xml:space="preserve"> Property Fund held in two tranches. The capital value as at the end of May 2018 was £8,398,574</w:t>
      </w:r>
    </w:p>
    <w:p w:rsidR="009E589D" w:rsidRPr="009E589D" w:rsidRDefault="009E589D" w:rsidP="009E589D">
      <w:pPr>
        <w:numPr>
          <w:ilvl w:val="1"/>
          <w:numId w:val="5"/>
        </w:numPr>
        <w:autoSpaceDE w:val="0"/>
        <w:autoSpaceDN w:val="0"/>
        <w:ind w:left="1134"/>
        <w:rPr>
          <w:color w:val="000000"/>
        </w:rPr>
      </w:pPr>
      <w:r w:rsidRPr="009E589D">
        <w:rPr>
          <w:color w:val="000000"/>
        </w:rPr>
        <w:t xml:space="preserve">The Council has enjoyed growth since joining the Fund and as with </w:t>
      </w:r>
      <w:proofErr w:type="gramStart"/>
      <w:r w:rsidRPr="009E589D">
        <w:rPr>
          <w:color w:val="000000"/>
        </w:rPr>
        <w:t>CCLA,</w:t>
      </w:r>
      <w:proofErr w:type="gramEnd"/>
      <w:r w:rsidRPr="009E589D">
        <w:rPr>
          <w:color w:val="000000"/>
        </w:rPr>
        <w:t xml:space="preserve"> it has made a full recovery after the dip in value following the Brexit referendum result. The Fund managers believe the Fund comprises investments in prime properties that are high quality, well located and secured with excellent tenants.  As at 31 May 2018, the fund size was £1.718 billion</w:t>
      </w:r>
    </w:p>
    <w:p w:rsidR="009E589D" w:rsidRPr="009E589D" w:rsidRDefault="009E589D" w:rsidP="009E589D">
      <w:pPr>
        <w:numPr>
          <w:ilvl w:val="1"/>
          <w:numId w:val="5"/>
        </w:numPr>
        <w:autoSpaceDE w:val="0"/>
        <w:autoSpaceDN w:val="0"/>
        <w:ind w:left="1134"/>
        <w:rPr>
          <w:color w:val="000000"/>
        </w:rPr>
      </w:pPr>
      <w:r w:rsidRPr="009E589D">
        <w:rPr>
          <w:color w:val="000000"/>
        </w:rPr>
        <w:t>The Fund still allows redemptions</w:t>
      </w:r>
    </w:p>
    <w:p w:rsidR="009E589D" w:rsidRPr="009E589D" w:rsidRDefault="009E589D" w:rsidP="009E589D">
      <w:pPr>
        <w:autoSpaceDE w:val="0"/>
        <w:autoSpaceDN w:val="0"/>
        <w:ind w:left="1134"/>
        <w:rPr>
          <w:color w:val="000000"/>
        </w:rPr>
      </w:pPr>
    </w:p>
    <w:p w:rsidR="009E589D" w:rsidRPr="009E589D" w:rsidRDefault="009E589D" w:rsidP="009E589D">
      <w:pPr>
        <w:autoSpaceDE w:val="0"/>
        <w:autoSpaceDN w:val="0"/>
        <w:ind w:left="1440"/>
        <w:jc w:val="center"/>
        <w:rPr>
          <w:color w:val="000000"/>
        </w:rPr>
      </w:pPr>
      <w:r w:rsidRPr="009E589D">
        <w:rPr>
          <w:noProof/>
          <w:color w:val="000000"/>
          <w:lang w:eastAsia="en-GB"/>
        </w:rPr>
        <w:drawing>
          <wp:inline distT="0" distB="0" distL="0" distR="0" wp14:anchorId="663E3501" wp14:editId="7B844731">
            <wp:extent cx="5231591" cy="340995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3235" cy="3411022"/>
                    </a:xfrm>
                    <a:prstGeom prst="rect">
                      <a:avLst/>
                    </a:prstGeom>
                    <a:noFill/>
                  </pic:spPr>
                </pic:pic>
              </a:graphicData>
            </a:graphic>
          </wp:inline>
        </w:drawing>
      </w:r>
    </w:p>
    <w:p w:rsidR="009E589D" w:rsidRPr="009E589D" w:rsidRDefault="009E589D" w:rsidP="009E589D">
      <w:pPr>
        <w:autoSpaceDE w:val="0"/>
        <w:autoSpaceDN w:val="0"/>
        <w:ind w:left="1440"/>
        <w:rPr>
          <w:color w:val="000000"/>
        </w:rPr>
      </w:pPr>
    </w:p>
    <w:p w:rsidR="009E589D" w:rsidRPr="009E589D" w:rsidRDefault="009E589D" w:rsidP="009E589D">
      <w:pPr>
        <w:autoSpaceDE w:val="0"/>
        <w:autoSpaceDN w:val="0"/>
        <w:ind w:left="1440"/>
        <w:rPr>
          <w:color w:val="000000"/>
        </w:rPr>
      </w:pPr>
      <w:r w:rsidRPr="009E589D">
        <w:rPr>
          <w:color w:val="000000"/>
        </w:rPr>
        <w:t>The pie chart below shows the asset allocation by type of the Fund.</w:t>
      </w:r>
    </w:p>
    <w:p w:rsidR="009E589D" w:rsidRPr="009E589D" w:rsidRDefault="009E589D" w:rsidP="009E589D">
      <w:pPr>
        <w:autoSpaceDE w:val="0"/>
        <w:autoSpaceDN w:val="0"/>
        <w:ind w:left="1440"/>
        <w:rPr>
          <w:color w:val="000000"/>
        </w:rPr>
      </w:pPr>
    </w:p>
    <w:p w:rsidR="009E589D" w:rsidRPr="009E589D" w:rsidRDefault="009E589D" w:rsidP="009E589D">
      <w:pPr>
        <w:autoSpaceDE w:val="0"/>
        <w:autoSpaceDN w:val="0"/>
        <w:jc w:val="right"/>
        <w:rPr>
          <w:color w:val="000000"/>
        </w:rPr>
      </w:pPr>
      <w:r w:rsidRPr="009E589D">
        <w:rPr>
          <w:noProof/>
          <w:color w:val="000000"/>
          <w:lang w:eastAsia="en-GB"/>
        </w:rPr>
        <w:drawing>
          <wp:inline distT="0" distB="0" distL="0" distR="0" wp14:anchorId="1CAC2F38" wp14:editId="149C39F5">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589D" w:rsidRPr="009E589D" w:rsidRDefault="009E589D" w:rsidP="009E589D">
      <w:pPr>
        <w:autoSpaceDE w:val="0"/>
        <w:autoSpaceDN w:val="0"/>
        <w:rPr>
          <w:color w:val="000000"/>
        </w:rPr>
      </w:pPr>
    </w:p>
    <w:p w:rsidR="00F76373" w:rsidRPr="009E589D" w:rsidRDefault="00F76373" w:rsidP="009E589D">
      <w:pPr>
        <w:autoSpaceDE w:val="0"/>
        <w:autoSpaceDN w:val="0"/>
        <w:rPr>
          <w:color w:val="000000"/>
        </w:rPr>
      </w:pPr>
    </w:p>
    <w:p w:rsidR="009E589D" w:rsidRPr="009E589D" w:rsidRDefault="009E589D" w:rsidP="009E6B8F">
      <w:pPr>
        <w:autoSpaceDE w:val="0"/>
        <w:autoSpaceDN w:val="0"/>
        <w:ind w:firstLine="426"/>
        <w:rPr>
          <w:b/>
          <w:color w:val="000000"/>
        </w:rPr>
      </w:pPr>
      <w:r w:rsidRPr="009E589D">
        <w:rPr>
          <w:b/>
          <w:color w:val="000000"/>
        </w:rPr>
        <w:t>Borrowing</w:t>
      </w:r>
    </w:p>
    <w:p w:rsidR="009E589D" w:rsidRDefault="009E589D" w:rsidP="009E589D">
      <w:pPr>
        <w:autoSpaceDE w:val="0"/>
        <w:autoSpaceDN w:val="0"/>
        <w:ind w:left="426"/>
        <w:rPr>
          <w:color w:val="000000"/>
        </w:rPr>
      </w:pPr>
      <w:r w:rsidRPr="009E589D">
        <w:rPr>
          <w:color w:val="000000"/>
        </w:rPr>
        <w:t>Within the Council’s Medium Term Financial Plan, provision has been made for the following prudential borrowing:</w:t>
      </w:r>
    </w:p>
    <w:p w:rsidR="00077FD4" w:rsidRDefault="00077FD4" w:rsidP="009E589D">
      <w:pPr>
        <w:autoSpaceDE w:val="0"/>
        <w:autoSpaceDN w:val="0"/>
        <w:ind w:left="426"/>
        <w:rPr>
          <w:color w:val="000000"/>
        </w:rPr>
      </w:pPr>
    </w:p>
    <w:p w:rsidR="009E589D" w:rsidRPr="009E589D" w:rsidRDefault="009E589D" w:rsidP="009E589D">
      <w:pPr>
        <w:autoSpaceDE w:val="0"/>
        <w:autoSpaceDN w:val="0"/>
        <w:ind w:left="720"/>
        <w:rPr>
          <w:color w:val="000000"/>
        </w:rPr>
      </w:pPr>
    </w:p>
    <w:tbl>
      <w:tblPr>
        <w:tblStyle w:val="TableGrid1"/>
        <w:tblW w:w="0" w:type="auto"/>
        <w:tblInd w:w="720" w:type="dxa"/>
        <w:tblLook w:val="04A0" w:firstRow="1" w:lastRow="0" w:firstColumn="1" w:lastColumn="0" w:noHBand="0" w:noVBand="1"/>
      </w:tblPr>
      <w:tblGrid>
        <w:gridCol w:w="1478"/>
        <w:gridCol w:w="1472"/>
        <w:gridCol w:w="1613"/>
        <w:gridCol w:w="1381"/>
        <w:gridCol w:w="1414"/>
      </w:tblGrid>
      <w:tr w:rsidR="009E589D" w:rsidRPr="009E589D" w:rsidTr="009E589D">
        <w:tc>
          <w:tcPr>
            <w:tcW w:w="1478" w:type="dxa"/>
            <w:shd w:val="clear" w:color="auto" w:fill="D9D9D9" w:themeFill="background1" w:themeFillShade="D9"/>
          </w:tcPr>
          <w:p w:rsidR="009E589D" w:rsidRPr="009E589D" w:rsidRDefault="009E589D" w:rsidP="009E589D">
            <w:pPr>
              <w:autoSpaceDE w:val="0"/>
              <w:autoSpaceDN w:val="0"/>
              <w:rPr>
                <w:b/>
                <w:color w:val="000000"/>
              </w:rPr>
            </w:pPr>
          </w:p>
        </w:tc>
        <w:tc>
          <w:tcPr>
            <w:tcW w:w="1472" w:type="dxa"/>
            <w:shd w:val="clear" w:color="auto" w:fill="D9D9D9" w:themeFill="background1" w:themeFillShade="D9"/>
          </w:tcPr>
          <w:p w:rsidR="009E589D" w:rsidRPr="009E589D" w:rsidRDefault="009E589D" w:rsidP="009E589D">
            <w:pPr>
              <w:autoSpaceDE w:val="0"/>
              <w:autoSpaceDN w:val="0"/>
              <w:rPr>
                <w:b/>
                <w:color w:val="000000"/>
              </w:rPr>
            </w:pPr>
            <w:r w:rsidRPr="009E589D">
              <w:rPr>
                <w:b/>
                <w:color w:val="000000"/>
              </w:rPr>
              <w:t>HRA</w:t>
            </w:r>
          </w:p>
        </w:tc>
        <w:tc>
          <w:tcPr>
            <w:tcW w:w="1613" w:type="dxa"/>
            <w:shd w:val="clear" w:color="auto" w:fill="D9D9D9" w:themeFill="background1" w:themeFillShade="D9"/>
          </w:tcPr>
          <w:p w:rsidR="009E589D" w:rsidRPr="009E589D" w:rsidRDefault="009E589D" w:rsidP="009E589D">
            <w:pPr>
              <w:autoSpaceDE w:val="0"/>
              <w:autoSpaceDN w:val="0"/>
              <w:rPr>
                <w:b/>
                <w:color w:val="000000"/>
              </w:rPr>
            </w:pPr>
            <w:r w:rsidRPr="009E589D">
              <w:rPr>
                <w:b/>
                <w:color w:val="000000"/>
              </w:rPr>
              <w:t>General Fund</w:t>
            </w:r>
          </w:p>
        </w:tc>
        <w:tc>
          <w:tcPr>
            <w:tcW w:w="1381" w:type="dxa"/>
            <w:shd w:val="clear" w:color="auto" w:fill="D9D9D9" w:themeFill="background1" w:themeFillShade="D9"/>
          </w:tcPr>
          <w:p w:rsidR="009E589D" w:rsidRPr="009E589D" w:rsidRDefault="009E589D" w:rsidP="009E589D">
            <w:pPr>
              <w:autoSpaceDE w:val="0"/>
              <w:autoSpaceDN w:val="0"/>
              <w:rPr>
                <w:b/>
                <w:color w:val="000000"/>
              </w:rPr>
            </w:pPr>
            <w:r w:rsidRPr="009E589D">
              <w:rPr>
                <w:b/>
                <w:color w:val="000000"/>
              </w:rPr>
              <w:t>Housing Company</w:t>
            </w:r>
          </w:p>
        </w:tc>
        <w:tc>
          <w:tcPr>
            <w:tcW w:w="1414" w:type="dxa"/>
            <w:shd w:val="clear" w:color="auto" w:fill="D9D9D9" w:themeFill="background1" w:themeFillShade="D9"/>
          </w:tcPr>
          <w:p w:rsidR="009E589D" w:rsidRPr="009E589D" w:rsidRDefault="009E589D" w:rsidP="009E589D">
            <w:pPr>
              <w:autoSpaceDE w:val="0"/>
              <w:autoSpaceDN w:val="0"/>
              <w:rPr>
                <w:b/>
                <w:color w:val="000000"/>
              </w:rPr>
            </w:pPr>
            <w:r w:rsidRPr="009E589D">
              <w:rPr>
                <w:b/>
                <w:color w:val="000000"/>
              </w:rPr>
              <w:t>Total</w:t>
            </w:r>
          </w:p>
        </w:tc>
      </w:tr>
      <w:tr w:rsidR="009E589D" w:rsidRPr="009E589D" w:rsidTr="009E589D">
        <w:tc>
          <w:tcPr>
            <w:tcW w:w="1478" w:type="dxa"/>
            <w:shd w:val="clear" w:color="auto" w:fill="D9D9D9" w:themeFill="background1" w:themeFillShade="D9"/>
          </w:tcPr>
          <w:p w:rsidR="009E589D" w:rsidRPr="009E589D" w:rsidRDefault="009E589D" w:rsidP="009E589D">
            <w:pPr>
              <w:autoSpaceDE w:val="0"/>
              <w:autoSpaceDN w:val="0"/>
              <w:rPr>
                <w:b/>
                <w:color w:val="000000"/>
              </w:rPr>
            </w:pPr>
          </w:p>
        </w:tc>
        <w:tc>
          <w:tcPr>
            <w:tcW w:w="1472" w:type="dxa"/>
            <w:shd w:val="clear" w:color="auto" w:fill="D9D9D9" w:themeFill="background1" w:themeFillShade="D9"/>
          </w:tcPr>
          <w:p w:rsidR="009E589D" w:rsidRPr="009E589D" w:rsidRDefault="009E589D" w:rsidP="009E589D">
            <w:pPr>
              <w:autoSpaceDE w:val="0"/>
              <w:autoSpaceDN w:val="0"/>
              <w:jc w:val="center"/>
              <w:rPr>
                <w:b/>
                <w:color w:val="000000"/>
              </w:rPr>
            </w:pPr>
            <w:r w:rsidRPr="009E589D">
              <w:rPr>
                <w:b/>
                <w:color w:val="000000"/>
              </w:rPr>
              <w:t>£000’s</w:t>
            </w:r>
          </w:p>
        </w:tc>
        <w:tc>
          <w:tcPr>
            <w:tcW w:w="1613" w:type="dxa"/>
            <w:shd w:val="clear" w:color="auto" w:fill="D9D9D9" w:themeFill="background1" w:themeFillShade="D9"/>
          </w:tcPr>
          <w:p w:rsidR="009E589D" w:rsidRPr="009E589D" w:rsidRDefault="009E589D" w:rsidP="009E589D">
            <w:pPr>
              <w:autoSpaceDE w:val="0"/>
              <w:autoSpaceDN w:val="0"/>
              <w:jc w:val="center"/>
              <w:rPr>
                <w:b/>
                <w:color w:val="000000"/>
              </w:rPr>
            </w:pPr>
            <w:r w:rsidRPr="009E589D">
              <w:rPr>
                <w:b/>
                <w:color w:val="000000"/>
              </w:rPr>
              <w:t>£000’s</w:t>
            </w:r>
          </w:p>
        </w:tc>
        <w:tc>
          <w:tcPr>
            <w:tcW w:w="1381" w:type="dxa"/>
            <w:shd w:val="clear" w:color="auto" w:fill="D9D9D9" w:themeFill="background1" w:themeFillShade="D9"/>
          </w:tcPr>
          <w:p w:rsidR="009E589D" w:rsidRPr="009E589D" w:rsidRDefault="009E589D" w:rsidP="009E589D">
            <w:pPr>
              <w:jc w:val="center"/>
              <w:rPr>
                <w:b/>
              </w:rPr>
            </w:pPr>
            <w:r w:rsidRPr="009E589D">
              <w:rPr>
                <w:b/>
              </w:rPr>
              <w:t>£000’s</w:t>
            </w:r>
          </w:p>
        </w:tc>
        <w:tc>
          <w:tcPr>
            <w:tcW w:w="1414" w:type="dxa"/>
            <w:shd w:val="clear" w:color="auto" w:fill="D9D9D9" w:themeFill="background1" w:themeFillShade="D9"/>
          </w:tcPr>
          <w:p w:rsidR="009E589D" w:rsidRPr="009E589D" w:rsidRDefault="009E589D" w:rsidP="009E589D">
            <w:pPr>
              <w:autoSpaceDE w:val="0"/>
              <w:autoSpaceDN w:val="0"/>
              <w:jc w:val="center"/>
              <w:rPr>
                <w:b/>
                <w:color w:val="000000"/>
              </w:rPr>
            </w:pPr>
            <w:r w:rsidRPr="009E589D">
              <w:rPr>
                <w:b/>
                <w:color w:val="000000"/>
              </w:rPr>
              <w:t>£000’s</w:t>
            </w:r>
          </w:p>
        </w:tc>
      </w:tr>
      <w:tr w:rsidR="00F76373" w:rsidRPr="009E589D" w:rsidTr="009E589D">
        <w:tc>
          <w:tcPr>
            <w:tcW w:w="1478" w:type="dxa"/>
          </w:tcPr>
          <w:p w:rsidR="00F76373" w:rsidRPr="009E589D" w:rsidRDefault="00F76373" w:rsidP="00B21BAF">
            <w:pPr>
              <w:autoSpaceDE w:val="0"/>
              <w:autoSpaceDN w:val="0"/>
              <w:rPr>
                <w:color w:val="000000"/>
              </w:rPr>
            </w:pPr>
            <w:r w:rsidRPr="009E589D">
              <w:rPr>
                <w:color w:val="000000"/>
              </w:rPr>
              <w:t>2018/19</w:t>
            </w:r>
          </w:p>
        </w:tc>
        <w:tc>
          <w:tcPr>
            <w:tcW w:w="1472" w:type="dxa"/>
          </w:tcPr>
          <w:p w:rsidR="00F76373" w:rsidRPr="009E589D" w:rsidRDefault="00A76E59" w:rsidP="009E589D">
            <w:pPr>
              <w:autoSpaceDE w:val="0"/>
              <w:autoSpaceDN w:val="0"/>
              <w:jc w:val="right"/>
              <w:rPr>
                <w:color w:val="000000"/>
              </w:rPr>
            </w:pPr>
            <w:r>
              <w:rPr>
                <w:color w:val="000000"/>
              </w:rPr>
              <w:t>532</w:t>
            </w:r>
          </w:p>
        </w:tc>
        <w:tc>
          <w:tcPr>
            <w:tcW w:w="1613" w:type="dxa"/>
          </w:tcPr>
          <w:p w:rsidR="00F76373" w:rsidRPr="009E589D" w:rsidRDefault="00A76E59" w:rsidP="00A76E59">
            <w:pPr>
              <w:autoSpaceDE w:val="0"/>
              <w:autoSpaceDN w:val="0"/>
              <w:jc w:val="right"/>
              <w:rPr>
                <w:color w:val="000000"/>
              </w:rPr>
            </w:pPr>
            <w:r>
              <w:rPr>
                <w:color w:val="000000"/>
              </w:rPr>
              <w:t>10,238</w:t>
            </w:r>
          </w:p>
        </w:tc>
        <w:tc>
          <w:tcPr>
            <w:tcW w:w="1381" w:type="dxa"/>
          </w:tcPr>
          <w:p w:rsidR="00F76373" w:rsidRPr="009E589D" w:rsidRDefault="00F76373" w:rsidP="00F76373">
            <w:pPr>
              <w:autoSpaceDE w:val="0"/>
              <w:autoSpaceDN w:val="0"/>
              <w:jc w:val="right"/>
              <w:rPr>
                <w:color w:val="000000"/>
              </w:rPr>
            </w:pPr>
            <w:r>
              <w:rPr>
                <w:color w:val="000000"/>
              </w:rPr>
              <w:t>44,965</w:t>
            </w:r>
          </w:p>
        </w:tc>
        <w:tc>
          <w:tcPr>
            <w:tcW w:w="1414" w:type="dxa"/>
          </w:tcPr>
          <w:p w:rsidR="00F76373" w:rsidRPr="009E589D" w:rsidRDefault="00A76E59" w:rsidP="009E589D">
            <w:pPr>
              <w:autoSpaceDE w:val="0"/>
              <w:autoSpaceDN w:val="0"/>
              <w:jc w:val="right"/>
              <w:rPr>
                <w:color w:val="000000"/>
              </w:rPr>
            </w:pPr>
            <w:r>
              <w:rPr>
                <w:color w:val="000000"/>
              </w:rPr>
              <w:t>55,735</w:t>
            </w:r>
          </w:p>
        </w:tc>
      </w:tr>
      <w:tr w:rsidR="00F76373" w:rsidRPr="009E589D" w:rsidTr="009E589D">
        <w:tc>
          <w:tcPr>
            <w:tcW w:w="1478" w:type="dxa"/>
          </w:tcPr>
          <w:p w:rsidR="00F76373" w:rsidRPr="009E589D" w:rsidRDefault="00F76373" w:rsidP="00B21BAF">
            <w:pPr>
              <w:autoSpaceDE w:val="0"/>
              <w:autoSpaceDN w:val="0"/>
              <w:rPr>
                <w:color w:val="000000"/>
              </w:rPr>
            </w:pPr>
            <w:r w:rsidRPr="009E589D">
              <w:rPr>
                <w:color w:val="000000"/>
              </w:rPr>
              <w:t>2019/20</w:t>
            </w:r>
          </w:p>
        </w:tc>
        <w:tc>
          <w:tcPr>
            <w:tcW w:w="1472" w:type="dxa"/>
          </w:tcPr>
          <w:p w:rsidR="00F76373" w:rsidRPr="009E589D" w:rsidRDefault="00A76E59" w:rsidP="009E589D">
            <w:pPr>
              <w:autoSpaceDE w:val="0"/>
              <w:autoSpaceDN w:val="0"/>
              <w:jc w:val="right"/>
              <w:rPr>
                <w:color w:val="000000"/>
              </w:rPr>
            </w:pPr>
            <w:r>
              <w:rPr>
                <w:color w:val="000000"/>
              </w:rPr>
              <w:t>532</w:t>
            </w:r>
          </w:p>
        </w:tc>
        <w:tc>
          <w:tcPr>
            <w:tcW w:w="1613" w:type="dxa"/>
          </w:tcPr>
          <w:p w:rsidR="00F76373" w:rsidRPr="009E589D" w:rsidRDefault="00A76E59" w:rsidP="009E589D">
            <w:pPr>
              <w:autoSpaceDE w:val="0"/>
              <w:autoSpaceDN w:val="0"/>
              <w:jc w:val="right"/>
              <w:rPr>
                <w:color w:val="000000"/>
              </w:rPr>
            </w:pPr>
            <w:r>
              <w:rPr>
                <w:color w:val="000000"/>
              </w:rPr>
              <w:t>7,200</w:t>
            </w:r>
          </w:p>
        </w:tc>
        <w:tc>
          <w:tcPr>
            <w:tcW w:w="1381" w:type="dxa"/>
          </w:tcPr>
          <w:p w:rsidR="00F76373" w:rsidRPr="009E589D" w:rsidRDefault="00F76373" w:rsidP="009E589D">
            <w:pPr>
              <w:autoSpaceDE w:val="0"/>
              <w:autoSpaceDN w:val="0"/>
              <w:jc w:val="right"/>
              <w:rPr>
                <w:color w:val="000000"/>
              </w:rPr>
            </w:pPr>
            <w:r>
              <w:rPr>
                <w:color w:val="000000"/>
              </w:rPr>
              <w:t>17,000</w:t>
            </w:r>
          </w:p>
        </w:tc>
        <w:tc>
          <w:tcPr>
            <w:tcW w:w="1414" w:type="dxa"/>
          </w:tcPr>
          <w:p w:rsidR="00F76373" w:rsidRPr="009E589D" w:rsidRDefault="00A76E59" w:rsidP="009E589D">
            <w:pPr>
              <w:autoSpaceDE w:val="0"/>
              <w:autoSpaceDN w:val="0"/>
              <w:jc w:val="right"/>
              <w:rPr>
                <w:color w:val="000000"/>
              </w:rPr>
            </w:pPr>
            <w:r>
              <w:rPr>
                <w:color w:val="000000"/>
              </w:rPr>
              <w:t>24,732</w:t>
            </w:r>
          </w:p>
        </w:tc>
      </w:tr>
      <w:tr w:rsidR="00F76373" w:rsidRPr="009E589D" w:rsidTr="009E589D">
        <w:tc>
          <w:tcPr>
            <w:tcW w:w="1478" w:type="dxa"/>
          </w:tcPr>
          <w:p w:rsidR="00F76373" w:rsidRPr="009E589D" w:rsidRDefault="00F76373" w:rsidP="00B21BAF">
            <w:pPr>
              <w:autoSpaceDE w:val="0"/>
              <w:autoSpaceDN w:val="0"/>
              <w:rPr>
                <w:color w:val="000000"/>
              </w:rPr>
            </w:pPr>
            <w:r w:rsidRPr="009E589D">
              <w:rPr>
                <w:color w:val="000000"/>
              </w:rPr>
              <w:t>2020/21</w:t>
            </w:r>
          </w:p>
        </w:tc>
        <w:tc>
          <w:tcPr>
            <w:tcW w:w="1472" w:type="dxa"/>
          </w:tcPr>
          <w:p w:rsidR="00F76373" w:rsidRPr="009E589D" w:rsidRDefault="00A76E59" w:rsidP="009E589D">
            <w:pPr>
              <w:autoSpaceDE w:val="0"/>
              <w:autoSpaceDN w:val="0"/>
              <w:jc w:val="right"/>
              <w:rPr>
                <w:color w:val="000000"/>
              </w:rPr>
            </w:pPr>
            <w:r>
              <w:rPr>
                <w:color w:val="000000"/>
              </w:rPr>
              <w:t>9,835</w:t>
            </w:r>
          </w:p>
        </w:tc>
        <w:tc>
          <w:tcPr>
            <w:tcW w:w="1613" w:type="dxa"/>
          </w:tcPr>
          <w:p w:rsidR="00F76373" w:rsidRPr="009E589D" w:rsidRDefault="00A76E59" w:rsidP="009E589D">
            <w:pPr>
              <w:autoSpaceDE w:val="0"/>
              <w:autoSpaceDN w:val="0"/>
              <w:jc w:val="right"/>
              <w:rPr>
                <w:color w:val="000000"/>
              </w:rPr>
            </w:pPr>
            <w:r>
              <w:rPr>
                <w:color w:val="000000"/>
              </w:rPr>
              <w:t>450</w:t>
            </w:r>
          </w:p>
        </w:tc>
        <w:tc>
          <w:tcPr>
            <w:tcW w:w="1381" w:type="dxa"/>
          </w:tcPr>
          <w:p w:rsidR="00F76373" w:rsidRPr="009E589D" w:rsidRDefault="00F76373" w:rsidP="009E589D">
            <w:pPr>
              <w:autoSpaceDE w:val="0"/>
              <w:autoSpaceDN w:val="0"/>
              <w:jc w:val="right"/>
              <w:rPr>
                <w:color w:val="000000"/>
              </w:rPr>
            </w:pPr>
            <w:r>
              <w:rPr>
                <w:color w:val="000000"/>
              </w:rPr>
              <w:t>12,000</w:t>
            </w:r>
          </w:p>
        </w:tc>
        <w:tc>
          <w:tcPr>
            <w:tcW w:w="1414" w:type="dxa"/>
          </w:tcPr>
          <w:p w:rsidR="00F76373" w:rsidRPr="009E589D" w:rsidRDefault="00A76E59" w:rsidP="009E589D">
            <w:pPr>
              <w:autoSpaceDE w:val="0"/>
              <w:autoSpaceDN w:val="0"/>
              <w:jc w:val="right"/>
              <w:rPr>
                <w:color w:val="000000"/>
              </w:rPr>
            </w:pPr>
            <w:r>
              <w:rPr>
                <w:color w:val="000000"/>
              </w:rPr>
              <w:t>22,285</w:t>
            </w:r>
          </w:p>
        </w:tc>
      </w:tr>
      <w:tr w:rsidR="00F76373" w:rsidRPr="009E589D" w:rsidTr="009E589D">
        <w:tc>
          <w:tcPr>
            <w:tcW w:w="1478" w:type="dxa"/>
          </w:tcPr>
          <w:p w:rsidR="00F76373" w:rsidRPr="009E589D" w:rsidRDefault="00F76373" w:rsidP="00F76373">
            <w:pPr>
              <w:autoSpaceDE w:val="0"/>
              <w:autoSpaceDN w:val="0"/>
              <w:rPr>
                <w:color w:val="000000"/>
              </w:rPr>
            </w:pPr>
            <w:r w:rsidRPr="009E589D">
              <w:rPr>
                <w:color w:val="000000"/>
              </w:rPr>
              <w:t>202</w:t>
            </w:r>
            <w:r>
              <w:rPr>
                <w:color w:val="000000"/>
              </w:rPr>
              <w:t>1</w:t>
            </w:r>
            <w:r w:rsidRPr="009E589D">
              <w:rPr>
                <w:color w:val="000000"/>
              </w:rPr>
              <w:t>/2</w:t>
            </w:r>
            <w:r>
              <w:rPr>
                <w:color w:val="000000"/>
              </w:rPr>
              <w:t>2</w:t>
            </w:r>
          </w:p>
        </w:tc>
        <w:tc>
          <w:tcPr>
            <w:tcW w:w="1472" w:type="dxa"/>
          </w:tcPr>
          <w:p w:rsidR="00F76373" w:rsidRPr="009E589D" w:rsidRDefault="00A76E59" w:rsidP="009E589D">
            <w:pPr>
              <w:autoSpaceDE w:val="0"/>
              <w:autoSpaceDN w:val="0"/>
              <w:jc w:val="right"/>
              <w:rPr>
                <w:color w:val="000000"/>
              </w:rPr>
            </w:pPr>
            <w:r>
              <w:rPr>
                <w:color w:val="000000"/>
              </w:rPr>
              <w:t>4,183</w:t>
            </w:r>
          </w:p>
        </w:tc>
        <w:tc>
          <w:tcPr>
            <w:tcW w:w="1613" w:type="dxa"/>
          </w:tcPr>
          <w:p w:rsidR="00F76373" w:rsidRPr="009E589D" w:rsidRDefault="00A76E59" w:rsidP="009E589D">
            <w:pPr>
              <w:autoSpaceDE w:val="0"/>
              <w:autoSpaceDN w:val="0"/>
              <w:jc w:val="right"/>
              <w:rPr>
                <w:color w:val="000000"/>
              </w:rPr>
            </w:pPr>
            <w:r>
              <w:rPr>
                <w:color w:val="000000"/>
              </w:rPr>
              <w:t>-</w:t>
            </w:r>
          </w:p>
        </w:tc>
        <w:tc>
          <w:tcPr>
            <w:tcW w:w="1381" w:type="dxa"/>
          </w:tcPr>
          <w:p w:rsidR="00F76373" w:rsidRPr="009E589D" w:rsidRDefault="00F76373" w:rsidP="009E589D">
            <w:pPr>
              <w:autoSpaceDE w:val="0"/>
              <w:autoSpaceDN w:val="0"/>
              <w:jc w:val="right"/>
              <w:rPr>
                <w:color w:val="000000"/>
              </w:rPr>
            </w:pPr>
            <w:r>
              <w:rPr>
                <w:color w:val="000000"/>
              </w:rPr>
              <w:t>11,233</w:t>
            </w:r>
          </w:p>
        </w:tc>
        <w:tc>
          <w:tcPr>
            <w:tcW w:w="1414" w:type="dxa"/>
          </w:tcPr>
          <w:p w:rsidR="00F76373" w:rsidRPr="009E589D" w:rsidRDefault="00A76E59" w:rsidP="009E589D">
            <w:pPr>
              <w:autoSpaceDE w:val="0"/>
              <w:autoSpaceDN w:val="0"/>
              <w:jc w:val="right"/>
              <w:rPr>
                <w:color w:val="000000"/>
              </w:rPr>
            </w:pPr>
            <w:r>
              <w:rPr>
                <w:color w:val="000000"/>
              </w:rPr>
              <w:t>15,416</w:t>
            </w:r>
          </w:p>
        </w:tc>
      </w:tr>
      <w:tr w:rsidR="00F76373" w:rsidRPr="009E589D" w:rsidTr="009E589D">
        <w:tc>
          <w:tcPr>
            <w:tcW w:w="1478" w:type="dxa"/>
          </w:tcPr>
          <w:p w:rsidR="00F76373" w:rsidRPr="009E589D" w:rsidRDefault="00F76373" w:rsidP="009E589D">
            <w:pPr>
              <w:autoSpaceDE w:val="0"/>
              <w:autoSpaceDN w:val="0"/>
              <w:rPr>
                <w:color w:val="000000"/>
              </w:rPr>
            </w:pPr>
          </w:p>
        </w:tc>
        <w:tc>
          <w:tcPr>
            <w:tcW w:w="1472" w:type="dxa"/>
          </w:tcPr>
          <w:p w:rsidR="00F76373" w:rsidRPr="009E589D" w:rsidRDefault="00F76373" w:rsidP="009E589D">
            <w:pPr>
              <w:autoSpaceDE w:val="0"/>
              <w:autoSpaceDN w:val="0"/>
              <w:jc w:val="right"/>
              <w:rPr>
                <w:color w:val="000000"/>
              </w:rPr>
            </w:pPr>
          </w:p>
        </w:tc>
        <w:tc>
          <w:tcPr>
            <w:tcW w:w="1613" w:type="dxa"/>
          </w:tcPr>
          <w:p w:rsidR="00F76373" w:rsidRPr="009E589D" w:rsidRDefault="00F76373" w:rsidP="009E589D">
            <w:pPr>
              <w:autoSpaceDE w:val="0"/>
              <w:autoSpaceDN w:val="0"/>
              <w:jc w:val="right"/>
              <w:rPr>
                <w:color w:val="000000"/>
              </w:rPr>
            </w:pPr>
          </w:p>
        </w:tc>
        <w:tc>
          <w:tcPr>
            <w:tcW w:w="1381" w:type="dxa"/>
          </w:tcPr>
          <w:p w:rsidR="00F76373" w:rsidRPr="009E589D" w:rsidRDefault="00F76373" w:rsidP="009E589D">
            <w:pPr>
              <w:autoSpaceDE w:val="0"/>
              <w:autoSpaceDN w:val="0"/>
              <w:jc w:val="right"/>
              <w:rPr>
                <w:color w:val="000000"/>
              </w:rPr>
            </w:pPr>
          </w:p>
        </w:tc>
        <w:tc>
          <w:tcPr>
            <w:tcW w:w="1414" w:type="dxa"/>
          </w:tcPr>
          <w:p w:rsidR="00F76373" w:rsidRPr="009E589D" w:rsidRDefault="00F76373" w:rsidP="009E589D">
            <w:pPr>
              <w:autoSpaceDE w:val="0"/>
              <w:autoSpaceDN w:val="0"/>
              <w:jc w:val="right"/>
              <w:rPr>
                <w:color w:val="000000"/>
              </w:rPr>
            </w:pPr>
          </w:p>
        </w:tc>
      </w:tr>
      <w:tr w:rsidR="00F76373" w:rsidRPr="009E589D" w:rsidTr="009E589D">
        <w:tc>
          <w:tcPr>
            <w:tcW w:w="1478" w:type="dxa"/>
          </w:tcPr>
          <w:p w:rsidR="00F76373" w:rsidRPr="009E589D" w:rsidRDefault="00F76373" w:rsidP="009E589D">
            <w:pPr>
              <w:autoSpaceDE w:val="0"/>
              <w:autoSpaceDN w:val="0"/>
              <w:rPr>
                <w:color w:val="000000"/>
              </w:rPr>
            </w:pPr>
            <w:r w:rsidRPr="009E589D">
              <w:rPr>
                <w:color w:val="000000"/>
              </w:rPr>
              <w:t xml:space="preserve">Total </w:t>
            </w:r>
          </w:p>
        </w:tc>
        <w:tc>
          <w:tcPr>
            <w:tcW w:w="1472" w:type="dxa"/>
          </w:tcPr>
          <w:p w:rsidR="00F76373" w:rsidRPr="009E589D" w:rsidRDefault="00A76E59" w:rsidP="00A76E59">
            <w:pPr>
              <w:autoSpaceDE w:val="0"/>
              <w:autoSpaceDN w:val="0"/>
              <w:jc w:val="right"/>
              <w:rPr>
                <w:color w:val="000000"/>
              </w:rPr>
            </w:pPr>
            <w:r>
              <w:rPr>
                <w:color w:val="000000"/>
              </w:rPr>
              <w:t>15,082</w:t>
            </w:r>
          </w:p>
        </w:tc>
        <w:tc>
          <w:tcPr>
            <w:tcW w:w="1613" w:type="dxa"/>
          </w:tcPr>
          <w:p w:rsidR="00F76373" w:rsidRPr="009E589D" w:rsidRDefault="00A76E59" w:rsidP="009E589D">
            <w:pPr>
              <w:autoSpaceDE w:val="0"/>
              <w:autoSpaceDN w:val="0"/>
              <w:jc w:val="right"/>
              <w:rPr>
                <w:color w:val="000000"/>
              </w:rPr>
            </w:pPr>
            <w:r>
              <w:rPr>
                <w:color w:val="000000"/>
              </w:rPr>
              <w:t>17,888</w:t>
            </w:r>
          </w:p>
        </w:tc>
        <w:tc>
          <w:tcPr>
            <w:tcW w:w="1381" w:type="dxa"/>
          </w:tcPr>
          <w:p w:rsidR="00F76373" w:rsidRPr="009E589D" w:rsidRDefault="00A76E59" w:rsidP="009E589D">
            <w:pPr>
              <w:autoSpaceDE w:val="0"/>
              <w:autoSpaceDN w:val="0"/>
              <w:jc w:val="right"/>
              <w:rPr>
                <w:color w:val="000000"/>
              </w:rPr>
            </w:pPr>
            <w:r>
              <w:rPr>
                <w:color w:val="000000"/>
              </w:rPr>
              <w:t>85,198</w:t>
            </w:r>
          </w:p>
        </w:tc>
        <w:tc>
          <w:tcPr>
            <w:tcW w:w="1414" w:type="dxa"/>
          </w:tcPr>
          <w:p w:rsidR="00F76373" w:rsidRPr="009E589D" w:rsidRDefault="00A76E59" w:rsidP="009E589D">
            <w:pPr>
              <w:autoSpaceDE w:val="0"/>
              <w:autoSpaceDN w:val="0"/>
              <w:jc w:val="right"/>
              <w:rPr>
                <w:color w:val="000000"/>
              </w:rPr>
            </w:pPr>
            <w:r>
              <w:rPr>
                <w:color w:val="000000"/>
              </w:rPr>
              <w:t>118,168</w:t>
            </w:r>
          </w:p>
        </w:tc>
      </w:tr>
    </w:tbl>
    <w:p w:rsidR="009E589D" w:rsidRPr="009E589D" w:rsidRDefault="009E589D" w:rsidP="009E589D">
      <w:pPr>
        <w:autoSpaceDE w:val="0"/>
        <w:autoSpaceDN w:val="0"/>
        <w:ind w:left="720"/>
        <w:rPr>
          <w:color w:val="000000"/>
        </w:rPr>
      </w:pPr>
    </w:p>
    <w:p w:rsidR="009E589D" w:rsidRPr="009E589D" w:rsidRDefault="00A76E59" w:rsidP="009E589D">
      <w:pPr>
        <w:autoSpaceDE w:val="0"/>
        <w:autoSpaceDN w:val="0"/>
        <w:ind w:left="426"/>
        <w:rPr>
          <w:color w:val="000000"/>
        </w:rPr>
      </w:pPr>
      <w:r>
        <w:rPr>
          <w:color w:val="000000"/>
        </w:rPr>
        <w:t xml:space="preserve">There is currently no external borrowing on the General </w:t>
      </w:r>
      <w:r w:rsidRPr="008F7F31">
        <w:rPr>
          <w:color w:val="000000"/>
        </w:rPr>
        <w:t xml:space="preserve">Fund and </w:t>
      </w:r>
      <w:r w:rsidR="008F7F31" w:rsidRPr="008F7F31">
        <w:rPr>
          <w:color w:val="000000"/>
        </w:rPr>
        <w:t>£198 million</w:t>
      </w:r>
      <w:r w:rsidRPr="008F7F31">
        <w:rPr>
          <w:color w:val="000000"/>
        </w:rPr>
        <w:t xml:space="preserve"> on the</w:t>
      </w:r>
      <w:r w:rsidR="009E589D" w:rsidRPr="008F7F31">
        <w:rPr>
          <w:color w:val="000000"/>
        </w:rPr>
        <w:t xml:space="preserve"> Housing Company. The HRA currently has £198million of fixed interest</w:t>
      </w:r>
      <w:r w:rsidR="009E589D" w:rsidRPr="009E589D">
        <w:rPr>
          <w:color w:val="000000"/>
        </w:rPr>
        <w:t xml:space="preserve"> self-financing debt. In addition the Council currently has around £20 million of internal borrowing and reserves and balances of around £60 million which potentially provide additional headroom dependant on the Council’s expenditure profile.  However, as highlighted earlier; borrowing rates are at historically low levels so officers are monitoring the situation carefully.</w:t>
      </w:r>
    </w:p>
    <w:p w:rsidR="009E589D" w:rsidRPr="009E589D" w:rsidRDefault="009E589D" w:rsidP="009E589D">
      <w:pPr>
        <w:autoSpaceDE w:val="0"/>
        <w:autoSpaceDN w:val="0"/>
        <w:ind w:left="1800"/>
        <w:rPr>
          <w:color w:val="000000"/>
        </w:rPr>
      </w:pPr>
    </w:p>
    <w:p w:rsidR="009E589D" w:rsidRPr="009E589D" w:rsidRDefault="009E589D" w:rsidP="009E6B8F">
      <w:pPr>
        <w:shd w:val="clear" w:color="auto" w:fill="FFFFFF"/>
        <w:ind w:firstLine="426"/>
        <w:contextualSpacing/>
        <w:outlineLvl w:val="1"/>
        <w:rPr>
          <w:rFonts w:eastAsia="Times New Roman"/>
          <w:b/>
          <w:lang w:eastAsia="en-GB"/>
        </w:rPr>
      </w:pPr>
      <w:r w:rsidRPr="009E589D">
        <w:rPr>
          <w:rFonts w:eastAsia="Times New Roman"/>
          <w:b/>
          <w:lang w:eastAsia="en-GB"/>
        </w:rPr>
        <w:t>Pound versus Euro</w:t>
      </w:r>
    </w:p>
    <w:p w:rsidR="009E589D" w:rsidRPr="009E589D" w:rsidRDefault="009E589D" w:rsidP="009E589D">
      <w:pPr>
        <w:shd w:val="clear" w:color="auto" w:fill="FFFFFF"/>
        <w:ind w:left="426"/>
        <w:rPr>
          <w:rFonts w:eastAsia="Times New Roman"/>
          <w:lang w:eastAsia="en-GB"/>
        </w:rPr>
      </w:pPr>
      <w:r w:rsidRPr="009E589D">
        <w:rPr>
          <w:rFonts w:eastAsia="Times New Roman"/>
          <w:lang w:eastAsia="en-GB"/>
        </w:rPr>
        <w:t xml:space="preserve">The pound has fallen consistently against the euro since the Brexit vote to a current low of 1.11 as at July 2017.  This compares to a 52 week high of 1.20 euros and a peak of 1.32 euros in May 2016 before the Brexit vote.  Whilst the fall in the pound has helped exporters it has made many imported goods more expensive and foreign holidays more expensive for British </w:t>
      </w:r>
      <w:proofErr w:type="gramStart"/>
      <w:r w:rsidRPr="009E589D">
        <w:rPr>
          <w:rFonts w:eastAsia="Times New Roman"/>
          <w:lang w:eastAsia="en-GB"/>
        </w:rPr>
        <w:t>tourists !</w:t>
      </w:r>
      <w:proofErr w:type="gramEnd"/>
    </w:p>
    <w:p w:rsidR="009E589D" w:rsidRPr="009E589D" w:rsidRDefault="009E589D" w:rsidP="009E589D">
      <w:pPr>
        <w:shd w:val="clear" w:color="auto" w:fill="FFFFFF"/>
        <w:ind w:left="426"/>
        <w:rPr>
          <w:rFonts w:eastAsia="Times New Roman"/>
          <w:lang w:eastAsia="en-GB"/>
        </w:rPr>
      </w:pPr>
    </w:p>
    <w:p w:rsidR="009E589D" w:rsidRPr="009E589D" w:rsidRDefault="00BE2401" w:rsidP="009E589D">
      <w:pPr>
        <w:shd w:val="clear" w:color="auto" w:fill="FFFFFF"/>
        <w:spacing w:before="240" w:after="100" w:afterAutospacing="1"/>
        <w:jc w:val="center"/>
        <w:rPr>
          <w:rFonts w:eastAsia="Times New Roman"/>
          <w:lang w:eastAsia="en-GB"/>
        </w:rPr>
      </w:pPr>
      <w:r>
        <w:rPr>
          <w:noProof/>
          <w:lang w:eastAsia="en-GB"/>
        </w:rPr>
        <w:lastRenderedPageBreak/>
        <w:drawing>
          <wp:inline distT="0" distB="0" distL="0" distR="0" wp14:anchorId="486831D6" wp14:editId="604CC3AB">
            <wp:extent cx="5731510" cy="3267710"/>
            <wp:effectExtent l="0" t="0" r="254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3267710"/>
                    </a:xfrm>
                    <a:prstGeom prst="rect">
                      <a:avLst/>
                    </a:prstGeom>
                  </pic:spPr>
                </pic:pic>
              </a:graphicData>
            </a:graphic>
          </wp:inline>
        </w:drawing>
      </w:r>
    </w:p>
    <w:p w:rsidR="009E589D" w:rsidRPr="00BE2401" w:rsidRDefault="009E589D" w:rsidP="009E589D">
      <w:pPr>
        <w:rPr>
          <w:color w:val="000000"/>
          <w:highlight w:val="yellow"/>
        </w:rPr>
      </w:pPr>
    </w:p>
    <w:p w:rsidR="00BE2401" w:rsidRPr="007962C8" w:rsidRDefault="00BE2401" w:rsidP="007962C8">
      <w:pPr>
        <w:ind w:firstLine="360"/>
        <w:rPr>
          <w:b/>
        </w:rPr>
      </w:pPr>
      <w:r w:rsidRPr="007962C8">
        <w:rPr>
          <w:b/>
        </w:rPr>
        <w:t>EU Funding</w:t>
      </w:r>
    </w:p>
    <w:p w:rsidR="00BE2401" w:rsidRDefault="00BE2401" w:rsidP="00BE2401">
      <w:pPr>
        <w:rPr>
          <w:color w:val="000000"/>
          <w:highlight w:val="yellow"/>
        </w:rPr>
      </w:pPr>
    </w:p>
    <w:p w:rsidR="00BE2401" w:rsidRPr="00FB35D3" w:rsidRDefault="00BE2401" w:rsidP="00BE2401">
      <w:pPr>
        <w:ind w:left="360"/>
        <w:rPr>
          <w:color w:val="000000"/>
          <w:highlight w:val="yellow"/>
        </w:rPr>
      </w:pPr>
      <w:r w:rsidRPr="00FB35D3">
        <w:rPr>
          <w:b/>
          <w:bCs/>
        </w:rPr>
        <w:t xml:space="preserve">European Structural Investment Funds (ERDF and ESF) </w:t>
      </w:r>
      <w:r w:rsidRPr="00FB35D3">
        <w:t xml:space="preserve">are historically relatively modest in Oxfordshire. Its total under this programme to 2020 is €19.3m - dwarfed by larger or less prosperous regions with a higher allocation. Nevertheless, it is a key source of niche funds for social inclusion, employability, sector based training, business support, innovation and low carbon economy. At a time of more limited national funding sources, it is difficult to imagine these being replaced with other funds at a national level. The funding is extremely valuable in filling gaps for local economic development activity, ones that cannot be funded locally, only nationally or EU wide. Oxford City Council has been able to use ESF and ERDF funds in innovative ways, for example, to </w:t>
      </w:r>
      <w:r w:rsidRPr="00FB35D3">
        <w:rPr>
          <w:bCs/>
        </w:rPr>
        <w:t>leverage almost</w:t>
      </w:r>
      <w:r w:rsidRPr="00FB35D3">
        <w:rPr>
          <w:b/>
          <w:bCs/>
        </w:rPr>
        <w:t xml:space="preserve"> </w:t>
      </w:r>
      <w:r w:rsidRPr="00FB35D3">
        <w:rPr>
          <w:bCs/>
        </w:rPr>
        <w:t>£18m of private investment in projects</w:t>
      </w:r>
      <w:r w:rsidRPr="00FB35D3">
        <w:t>. Another ESF funded project helped 230 benefit claimants to find work, increase their hours, or improve their earnings, leading to a combined increase in savings and earnings of £728,000 against a fund of £198,000.</w:t>
      </w:r>
    </w:p>
    <w:p w:rsidR="00BE2401" w:rsidRPr="00E928FA" w:rsidRDefault="00BE2401" w:rsidP="00BE2401">
      <w:pPr>
        <w:rPr>
          <w:color w:val="000000"/>
          <w:highlight w:val="yellow"/>
        </w:rPr>
      </w:pPr>
    </w:p>
    <w:p w:rsidR="00BE2401" w:rsidRPr="00BE2401" w:rsidRDefault="00BE2401" w:rsidP="00BE2401">
      <w:pPr>
        <w:ind w:left="360"/>
      </w:pPr>
      <w:r w:rsidRPr="00BE2401">
        <w:t>In its manifesto, the Government pledged to create a UK Shared Prosperity Fund to replace the money local areas currently receive from the European Union.</w:t>
      </w:r>
    </w:p>
    <w:p w:rsidR="00BE2401" w:rsidRPr="00BE2401" w:rsidRDefault="00BE2401" w:rsidP="00BE2401">
      <w:pPr>
        <w:ind w:left="360"/>
      </w:pPr>
      <w:r w:rsidRPr="00BE2401">
        <w:t xml:space="preserve">“We will use the structural fund money that comes back to the UK following Brexit to create a United Kingdom Shared Prosperity Fund, specifically designed to reduce inequalities between communities across our four nations. The money that is spent will help deliver sustainable, inclusive growth based on our modern industrial strategy. We will consult widely on the design of the fund, including with the devolved administrations, local authorities, businesses and public bodies. The UK Shared Prosperity Fund will be cheap to administer, low in bureaucracy and targeted where it is needed most </w:t>
      </w:r>
    </w:p>
    <w:p w:rsidR="00BE2401" w:rsidRPr="00BE2401" w:rsidRDefault="00BE2401" w:rsidP="00BE2401"/>
    <w:p w:rsidR="00BE2401" w:rsidRPr="00BE2401" w:rsidRDefault="00BE2401" w:rsidP="00BE2401">
      <w:pPr>
        <w:ind w:left="360"/>
      </w:pPr>
      <w:r w:rsidRPr="00BE2401">
        <w:lastRenderedPageBreak/>
        <w:t>The government hasn’t provided any more details about replacement funding. However the LGA have published a briefing setting out three options for the fund which are summarised as follows:</w:t>
      </w:r>
    </w:p>
    <w:p w:rsidR="00BE2401" w:rsidRPr="00BE2401" w:rsidRDefault="00BE2401" w:rsidP="00BE2401"/>
    <w:p w:rsidR="00BE2401" w:rsidRPr="00BE2401" w:rsidRDefault="00BE2401" w:rsidP="00BE2401">
      <w:pPr>
        <w:ind w:left="360"/>
      </w:pPr>
      <w:r w:rsidRPr="00FB35D3">
        <w:rPr>
          <w:b/>
        </w:rPr>
        <w:t>Option 1: No change’</w:t>
      </w:r>
      <w:r w:rsidRPr="00BE2401">
        <w:t>. This highlights the risk of implementing a domestic regional aid policy which simply mirrors the current ESIF funding programme in terms of structure, value and allocation timescales, but does not take opportunity to innovate.</w:t>
      </w:r>
    </w:p>
    <w:p w:rsidR="00BE2401" w:rsidRPr="00BE2401" w:rsidRDefault="00BE2401" w:rsidP="00BE2401"/>
    <w:p w:rsidR="00BE2401" w:rsidRPr="00BE2401" w:rsidRDefault="00BE2401" w:rsidP="00BE2401">
      <w:pPr>
        <w:ind w:left="360"/>
      </w:pPr>
      <w:r w:rsidRPr="00BE2401">
        <w:t>‘</w:t>
      </w:r>
      <w:r w:rsidRPr="00FB35D3">
        <w:rPr>
          <w:b/>
        </w:rPr>
        <w:t>Option 2: Innovative flexi-fund’</w:t>
      </w:r>
      <w:r w:rsidRPr="00BE2401">
        <w:t xml:space="preserve"> - A much welcome step forward which envisages a fundamental re-working of pre-Brexit funding arrangements to a structure that is more innovative and linked to flexible single pot allocation.</w:t>
      </w:r>
    </w:p>
    <w:p w:rsidR="00BE2401" w:rsidRPr="00BE2401" w:rsidRDefault="00BE2401" w:rsidP="00BE2401"/>
    <w:p w:rsidR="00BE2401" w:rsidRPr="00BE2401" w:rsidRDefault="00BE2401" w:rsidP="00BE2401">
      <w:pPr>
        <w:ind w:left="360"/>
      </w:pPr>
      <w:r w:rsidRPr="00BE2401">
        <w:t>‘</w:t>
      </w:r>
      <w:r w:rsidRPr="00FB35D3">
        <w:rPr>
          <w:b/>
        </w:rPr>
        <w:t>Option 3: Fully integrated’</w:t>
      </w:r>
      <w:r w:rsidRPr="00BE2401">
        <w:t xml:space="preserve"> - Represents the greatest flexibility in the design of a successor arrangement for regional funding, and would include EU funding and national growth funds into one flexible fund to maximise its potential.</w:t>
      </w:r>
    </w:p>
    <w:p w:rsidR="009E589D" w:rsidRPr="00BE2401" w:rsidRDefault="009E589D" w:rsidP="009E589D">
      <w:pPr>
        <w:ind w:left="1004"/>
        <w:contextualSpacing/>
        <w:rPr>
          <w:highlight w:val="yellow"/>
        </w:rPr>
      </w:pPr>
    </w:p>
    <w:p w:rsidR="004D4926" w:rsidRPr="002408A2" w:rsidRDefault="004D4926" w:rsidP="009E6B8F">
      <w:pPr>
        <w:pStyle w:val="ListParagraph"/>
        <w:ind w:left="426"/>
        <w:rPr>
          <w:b/>
        </w:rPr>
      </w:pPr>
      <w:r w:rsidRPr="002408A2">
        <w:rPr>
          <w:b/>
        </w:rPr>
        <w:t>EU Obligations</w:t>
      </w:r>
    </w:p>
    <w:p w:rsidR="005F17BF" w:rsidRPr="002408A2" w:rsidRDefault="004D4926" w:rsidP="000A1CF9">
      <w:pPr>
        <w:ind w:left="426"/>
      </w:pPr>
      <w:r w:rsidRPr="002408A2">
        <w:t>T</w:t>
      </w:r>
      <w:r w:rsidR="004D5DD8" w:rsidRPr="002408A2">
        <w:t>here are a range of EU obligations affecting local authorities. Procurement, local economic development</w:t>
      </w:r>
      <w:r w:rsidRPr="002408A2">
        <w:t xml:space="preserve">, waste </w:t>
      </w:r>
      <w:r w:rsidR="004D5DD8" w:rsidRPr="002408A2">
        <w:t xml:space="preserve">and employment are all determined by EU regulations. </w:t>
      </w:r>
      <w:r w:rsidR="00BB349F" w:rsidRPr="002408A2">
        <w:t xml:space="preserve">It is probable that some of these regulations </w:t>
      </w:r>
      <w:r w:rsidR="00B63B1C" w:rsidRPr="002408A2">
        <w:t>w</w:t>
      </w:r>
      <w:r w:rsidR="009A5748" w:rsidRPr="002408A2">
        <w:t xml:space="preserve">ill remain enshrined within UK </w:t>
      </w:r>
      <w:proofErr w:type="gramStart"/>
      <w:r w:rsidR="009A5748" w:rsidRPr="002408A2">
        <w:t>law,</w:t>
      </w:r>
      <w:proofErr w:type="gramEnd"/>
      <w:r w:rsidR="009A5748" w:rsidRPr="002408A2">
        <w:t xml:space="preserve"> others may be repealed or overturned</w:t>
      </w:r>
      <w:r w:rsidR="00457F89" w:rsidRPr="002408A2">
        <w:t xml:space="preserve"> in the fullness of time</w:t>
      </w:r>
      <w:r w:rsidR="00BB349F" w:rsidRPr="002408A2">
        <w:t xml:space="preserve">. </w:t>
      </w:r>
    </w:p>
    <w:p w:rsidR="005F17BF" w:rsidRPr="00E928FA" w:rsidRDefault="005F17BF" w:rsidP="000A1CF9">
      <w:pPr>
        <w:ind w:left="426"/>
        <w:rPr>
          <w:highlight w:val="yellow"/>
        </w:rPr>
      </w:pPr>
    </w:p>
    <w:p w:rsidR="004D4926" w:rsidRPr="00FB35D3" w:rsidRDefault="004D4926" w:rsidP="009E6B8F">
      <w:pPr>
        <w:pStyle w:val="ListParagraph"/>
        <w:ind w:left="426"/>
        <w:rPr>
          <w:b/>
        </w:rPr>
      </w:pPr>
      <w:r w:rsidRPr="00FB35D3">
        <w:rPr>
          <w:b/>
        </w:rPr>
        <w:t>State Aid Rules</w:t>
      </w:r>
    </w:p>
    <w:p w:rsidR="00380E5B" w:rsidRPr="00FB35D3" w:rsidRDefault="00816C9F" w:rsidP="009A5748">
      <w:pPr>
        <w:ind w:left="426"/>
        <w:rPr>
          <w:lang w:val="en-US"/>
        </w:rPr>
      </w:pPr>
      <w:r w:rsidRPr="00FB35D3">
        <w:rPr>
          <w:lang w:val="en-US"/>
        </w:rPr>
        <w:t>Potentially</w:t>
      </w:r>
      <w:r w:rsidR="00380E5B" w:rsidRPr="00FB35D3">
        <w:rPr>
          <w:lang w:val="en-US"/>
        </w:rPr>
        <w:t xml:space="preserve"> some EU state aid rules </w:t>
      </w:r>
      <w:r w:rsidR="00F10AFE" w:rsidRPr="00FB35D3">
        <w:rPr>
          <w:lang w:val="en-US"/>
        </w:rPr>
        <w:t>would be relaxed</w:t>
      </w:r>
      <w:r w:rsidR="00380E5B" w:rsidRPr="00FB35D3">
        <w:rPr>
          <w:lang w:val="en-US"/>
        </w:rPr>
        <w:t xml:space="preserve">, which could mean it is easier in some circumstances to support </w:t>
      </w:r>
      <w:r w:rsidR="00F10AFE" w:rsidRPr="00FB35D3">
        <w:rPr>
          <w:lang w:val="en-US"/>
        </w:rPr>
        <w:t xml:space="preserve">companies </w:t>
      </w:r>
      <w:r w:rsidR="00380E5B" w:rsidRPr="00FB35D3">
        <w:rPr>
          <w:lang w:val="en-US"/>
        </w:rPr>
        <w:t xml:space="preserve">with public funding when warranted, although we would still have to comply with restrictions </w:t>
      </w:r>
      <w:r w:rsidR="00EB1FEC" w:rsidRPr="00FB35D3">
        <w:rPr>
          <w:lang w:val="en-US"/>
        </w:rPr>
        <w:t xml:space="preserve">that may be </w:t>
      </w:r>
      <w:r w:rsidR="00380E5B" w:rsidRPr="00FB35D3">
        <w:rPr>
          <w:lang w:val="en-US"/>
        </w:rPr>
        <w:t xml:space="preserve">imposed as part of </w:t>
      </w:r>
      <w:r w:rsidR="00EB1FEC" w:rsidRPr="00FB35D3">
        <w:rPr>
          <w:lang w:val="en-US"/>
        </w:rPr>
        <w:t xml:space="preserve">a negotiated </w:t>
      </w:r>
      <w:r w:rsidR="00380E5B" w:rsidRPr="00FB35D3">
        <w:rPr>
          <w:lang w:val="en-US"/>
        </w:rPr>
        <w:t>E</w:t>
      </w:r>
      <w:r w:rsidR="004D4926" w:rsidRPr="00FB35D3">
        <w:rPr>
          <w:lang w:val="en-US"/>
        </w:rPr>
        <w:t xml:space="preserve">uropean </w:t>
      </w:r>
      <w:r w:rsidR="00380E5B" w:rsidRPr="00FB35D3">
        <w:rPr>
          <w:lang w:val="en-US"/>
        </w:rPr>
        <w:t>F</w:t>
      </w:r>
      <w:r w:rsidR="004D4926" w:rsidRPr="00FB35D3">
        <w:rPr>
          <w:lang w:val="en-US"/>
        </w:rPr>
        <w:t xml:space="preserve">ree </w:t>
      </w:r>
      <w:r w:rsidR="00380E5B" w:rsidRPr="00FB35D3">
        <w:rPr>
          <w:lang w:val="en-US"/>
        </w:rPr>
        <w:t>T</w:t>
      </w:r>
      <w:r w:rsidR="004D4926" w:rsidRPr="00FB35D3">
        <w:rPr>
          <w:lang w:val="en-US"/>
        </w:rPr>
        <w:t xml:space="preserve">rade </w:t>
      </w:r>
      <w:r w:rsidR="00380E5B" w:rsidRPr="00FB35D3">
        <w:rPr>
          <w:lang w:val="en-US"/>
        </w:rPr>
        <w:t>A</w:t>
      </w:r>
      <w:r w:rsidR="004D4926" w:rsidRPr="00FB35D3">
        <w:rPr>
          <w:lang w:val="en-US"/>
        </w:rPr>
        <w:t>greement</w:t>
      </w:r>
      <w:r w:rsidR="00380E5B" w:rsidRPr="00FB35D3">
        <w:rPr>
          <w:lang w:val="en-US"/>
        </w:rPr>
        <w:t>.</w:t>
      </w:r>
      <w:r w:rsidR="00455959" w:rsidRPr="00FB35D3">
        <w:rPr>
          <w:lang w:val="en-US"/>
        </w:rPr>
        <w:t xml:space="preserve"> The Council has applied state aid rules in the calculation of interest charged on loans made to the recently established Housing Company and similar calculations will be applied to loans to the Councils Local Authority Trading Company</w:t>
      </w:r>
    </w:p>
    <w:p w:rsidR="00455959" w:rsidRPr="00E928FA" w:rsidRDefault="00455959" w:rsidP="009A5748">
      <w:pPr>
        <w:ind w:left="426"/>
        <w:rPr>
          <w:highlight w:val="yellow"/>
        </w:rPr>
      </w:pPr>
    </w:p>
    <w:p w:rsidR="00257D66" w:rsidRPr="00E30C3D" w:rsidRDefault="00FE21C4" w:rsidP="00AD5FA0">
      <w:pPr>
        <w:pStyle w:val="ListParagraph"/>
        <w:shd w:val="clear" w:color="auto" w:fill="FFFFFF"/>
        <w:ind w:left="426"/>
        <w:rPr>
          <w:rFonts w:eastAsia="Times New Roman"/>
          <w:b/>
          <w:lang w:eastAsia="en-GB"/>
        </w:rPr>
      </w:pPr>
      <w:r w:rsidRPr="002408A2">
        <w:rPr>
          <w:rFonts w:eastAsia="Times New Roman"/>
          <w:b/>
          <w:lang w:val="en-US" w:eastAsia="en-GB"/>
        </w:rPr>
        <w:t xml:space="preserve"> </w:t>
      </w:r>
      <w:r w:rsidR="00F751BC" w:rsidRPr="00E30C3D">
        <w:rPr>
          <w:rFonts w:eastAsia="Times New Roman"/>
          <w:b/>
          <w:lang w:eastAsia="en-GB"/>
        </w:rPr>
        <w:t>The Council’s Key Income Streams</w:t>
      </w:r>
    </w:p>
    <w:p w:rsidR="00257D66" w:rsidRPr="00E928FA" w:rsidRDefault="00257D66" w:rsidP="00257D66">
      <w:pPr>
        <w:shd w:val="clear" w:color="auto" w:fill="FFFFFF"/>
        <w:rPr>
          <w:rFonts w:eastAsia="Times New Roman"/>
          <w:b/>
          <w:highlight w:val="yellow"/>
          <w:lang w:eastAsia="en-GB"/>
        </w:rPr>
      </w:pPr>
    </w:p>
    <w:p w:rsidR="00257D66" w:rsidRPr="00E30C3D" w:rsidRDefault="00257D66" w:rsidP="00AD5FA0">
      <w:pPr>
        <w:shd w:val="clear" w:color="auto" w:fill="FFFFFF"/>
        <w:ind w:left="426"/>
        <w:rPr>
          <w:rFonts w:eastAsia="Times New Roman"/>
          <w:lang w:eastAsia="en-GB"/>
        </w:rPr>
      </w:pPr>
      <w:r w:rsidRPr="00E30C3D">
        <w:rPr>
          <w:rFonts w:eastAsia="Times New Roman"/>
          <w:lang w:eastAsia="en-GB"/>
        </w:rPr>
        <w:t xml:space="preserve">For an indication of what the effect of BREXIT may have </w:t>
      </w:r>
      <w:r w:rsidR="00290CD7" w:rsidRPr="00E30C3D">
        <w:rPr>
          <w:rFonts w:eastAsia="Times New Roman"/>
          <w:lang w:eastAsia="en-GB"/>
        </w:rPr>
        <w:t xml:space="preserve">on </w:t>
      </w:r>
      <w:r w:rsidRPr="00E30C3D">
        <w:rPr>
          <w:rFonts w:eastAsia="Times New Roman"/>
          <w:lang w:eastAsia="en-GB"/>
        </w:rPr>
        <w:t xml:space="preserve">the Councils own income streams it is worth looking at what happened in the last </w:t>
      </w:r>
      <w:r w:rsidR="00290CD7" w:rsidRPr="00E30C3D">
        <w:rPr>
          <w:rFonts w:eastAsia="Times New Roman"/>
          <w:lang w:eastAsia="en-GB"/>
        </w:rPr>
        <w:t>recession</w:t>
      </w:r>
      <w:r w:rsidRPr="00E30C3D">
        <w:rPr>
          <w:rFonts w:eastAsia="Times New Roman"/>
          <w:lang w:eastAsia="en-GB"/>
        </w:rPr>
        <w:t xml:space="preserve"> and the effect on some of the Council</w:t>
      </w:r>
      <w:r w:rsidR="00290CD7" w:rsidRPr="00E30C3D">
        <w:rPr>
          <w:rFonts w:eastAsia="Times New Roman"/>
          <w:lang w:eastAsia="en-GB"/>
        </w:rPr>
        <w:t>'</w:t>
      </w:r>
      <w:r w:rsidRPr="00E30C3D">
        <w:rPr>
          <w:rFonts w:eastAsia="Times New Roman"/>
          <w:lang w:eastAsia="en-GB"/>
        </w:rPr>
        <w:t>s main income streams</w:t>
      </w:r>
      <w:r w:rsidR="00C313F1" w:rsidRPr="00E30C3D">
        <w:rPr>
          <w:rFonts w:eastAsia="Times New Roman"/>
          <w:lang w:eastAsia="en-GB"/>
        </w:rPr>
        <w:t>, i.e.</w:t>
      </w:r>
      <w:r w:rsidRPr="00E30C3D">
        <w:rPr>
          <w:rFonts w:eastAsia="Times New Roman"/>
          <w:lang w:eastAsia="en-GB"/>
        </w:rPr>
        <w:t xml:space="preserve"> car parking, planning fees, investment income, commercial property income  and Business Rates</w:t>
      </w:r>
      <w:r w:rsidR="004834FA" w:rsidRPr="00E30C3D">
        <w:rPr>
          <w:rFonts w:eastAsia="Times New Roman"/>
          <w:lang w:eastAsia="en-GB"/>
        </w:rPr>
        <w:t>. It will appreciated that p</w:t>
      </w:r>
      <w:r w:rsidRPr="00E30C3D">
        <w:rPr>
          <w:rFonts w:eastAsia="Times New Roman"/>
          <w:lang w:eastAsia="en-GB"/>
        </w:rPr>
        <w:t>ast history may no</w:t>
      </w:r>
      <w:r w:rsidR="004834FA" w:rsidRPr="00E30C3D">
        <w:rPr>
          <w:rFonts w:eastAsia="Times New Roman"/>
          <w:lang w:eastAsia="en-GB"/>
        </w:rPr>
        <w:t>t be reflective of the future.</w:t>
      </w:r>
    </w:p>
    <w:p w:rsidR="004834FA" w:rsidRPr="00E30C3D" w:rsidRDefault="004834FA" w:rsidP="00AD5FA0">
      <w:pPr>
        <w:shd w:val="clear" w:color="auto" w:fill="FFFFFF"/>
        <w:ind w:left="426"/>
        <w:rPr>
          <w:rFonts w:eastAsia="Times New Roman"/>
          <w:lang w:eastAsia="en-GB"/>
        </w:rPr>
      </w:pPr>
    </w:p>
    <w:p w:rsidR="004834FA" w:rsidRPr="00E30C3D" w:rsidRDefault="004834FA" w:rsidP="00AD5FA0">
      <w:pPr>
        <w:shd w:val="clear" w:color="auto" w:fill="FFFFFF"/>
        <w:ind w:left="426"/>
        <w:rPr>
          <w:rFonts w:eastAsia="Times New Roman"/>
          <w:lang w:eastAsia="en-GB"/>
        </w:rPr>
      </w:pPr>
      <w:r w:rsidRPr="00E30C3D">
        <w:rPr>
          <w:rFonts w:eastAsia="Times New Roman"/>
          <w:lang w:eastAsia="en-GB"/>
        </w:rPr>
        <w:t>Following 6 successive quarters of negative growth the UK finally moved out of recession in the final quarter of 2009. The graph below shows the Councils</w:t>
      </w:r>
      <w:r w:rsidR="00C313F1" w:rsidRPr="00E30C3D">
        <w:rPr>
          <w:rFonts w:eastAsia="Times New Roman"/>
          <w:lang w:eastAsia="en-GB"/>
        </w:rPr>
        <w:t>’</w:t>
      </w:r>
      <w:r w:rsidRPr="00E30C3D">
        <w:rPr>
          <w:rFonts w:eastAsia="Times New Roman"/>
          <w:lang w:eastAsia="en-GB"/>
        </w:rPr>
        <w:t xml:space="preserve"> main income streams </w:t>
      </w:r>
      <w:r w:rsidR="00F751BC" w:rsidRPr="00E30C3D">
        <w:rPr>
          <w:rFonts w:eastAsia="Times New Roman"/>
          <w:lang w:eastAsia="en-GB"/>
        </w:rPr>
        <w:t>between 200</w:t>
      </w:r>
      <w:r w:rsidR="00D16F06" w:rsidRPr="00E30C3D">
        <w:rPr>
          <w:rFonts w:eastAsia="Times New Roman"/>
          <w:lang w:eastAsia="en-GB"/>
        </w:rPr>
        <w:t>6</w:t>
      </w:r>
      <w:r w:rsidR="00F751BC" w:rsidRPr="00E30C3D">
        <w:rPr>
          <w:rFonts w:eastAsia="Times New Roman"/>
          <w:lang w:eastAsia="en-GB"/>
        </w:rPr>
        <w:t>/0</w:t>
      </w:r>
      <w:r w:rsidR="00D16F06" w:rsidRPr="00E30C3D">
        <w:rPr>
          <w:rFonts w:eastAsia="Times New Roman"/>
          <w:lang w:eastAsia="en-GB"/>
        </w:rPr>
        <w:t>7</w:t>
      </w:r>
      <w:r w:rsidR="00F751BC" w:rsidRPr="00E30C3D">
        <w:rPr>
          <w:rFonts w:eastAsia="Times New Roman"/>
          <w:lang w:eastAsia="en-GB"/>
        </w:rPr>
        <w:t xml:space="preserve"> and 201</w:t>
      </w:r>
      <w:r w:rsidR="00E30C3D" w:rsidRPr="00E30C3D">
        <w:rPr>
          <w:rFonts w:eastAsia="Times New Roman"/>
          <w:lang w:eastAsia="en-GB"/>
        </w:rPr>
        <w:t>7</w:t>
      </w:r>
      <w:r w:rsidR="00F751BC" w:rsidRPr="00E30C3D">
        <w:rPr>
          <w:rFonts w:eastAsia="Times New Roman"/>
          <w:lang w:eastAsia="en-GB"/>
        </w:rPr>
        <w:t>/1</w:t>
      </w:r>
      <w:r w:rsidR="00E30C3D" w:rsidRPr="00E30C3D">
        <w:rPr>
          <w:rFonts w:eastAsia="Times New Roman"/>
          <w:lang w:eastAsia="en-GB"/>
        </w:rPr>
        <w:t>8</w:t>
      </w:r>
      <w:r w:rsidR="00F751BC" w:rsidRPr="00E30C3D">
        <w:rPr>
          <w:rFonts w:eastAsia="Times New Roman"/>
          <w:lang w:eastAsia="en-GB"/>
        </w:rPr>
        <w:t xml:space="preserve"> which shows the trend before, during and after the recession.</w:t>
      </w:r>
    </w:p>
    <w:p w:rsidR="004F441F" w:rsidRPr="00E928FA" w:rsidRDefault="004F441F" w:rsidP="00257D66">
      <w:pPr>
        <w:shd w:val="clear" w:color="auto" w:fill="FFFFFF"/>
        <w:ind w:left="426"/>
        <w:rPr>
          <w:rFonts w:eastAsia="Times New Roman"/>
          <w:highlight w:val="yellow"/>
          <w:lang w:eastAsia="en-GB"/>
        </w:rPr>
      </w:pPr>
    </w:p>
    <w:p w:rsidR="004F441F" w:rsidRPr="00E928FA" w:rsidRDefault="004F441F" w:rsidP="00257D66">
      <w:pPr>
        <w:shd w:val="clear" w:color="auto" w:fill="FFFFFF"/>
        <w:ind w:left="426"/>
        <w:rPr>
          <w:rFonts w:eastAsia="Times New Roman"/>
          <w:highlight w:val="yellow"/>
          <w:lang w:eastAsia="en-GB"/>
        </w:rPr>
      </w:pPr>
    </w:p>
    <w:p w:rsidR="004F441F" w:rsidRPr="00E928FA" w:rsidRDefault="00E30C3D" w:rsidP="00257D66">
      <w:pPr>
        <w:shd w:val="clear" w:color="auto" w:fill="FFFFFF"/>
        <w:ind w:left="426"/>
        <w:rPr>
          <w:rFonts w:eastAsia="Times New Roman"/>
          <w:highlight w:val="yellow"/>
          <w:lang w:eastAsia="en-GB"/>
        </w:rPr>
      </w:pPr>
      <w:r>
        <w:rPr>
          <w:rFonts w:eastAsia="Times New Roman"/>
          <w:noProof/>
          <w:lang w:eastAsia="en-GB"/>
        </w:rPr>
        <w:lastRenderedPageBreak/>
        <w:drawing>
          <wp:inline distT="0" distB="0" distL="0" distR="0" wp14:anchorId="2ECE9C99" wp14:editId="475A55E6">
            <wp:extent cx="4962525" cy="3231521"/>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9676" cy="3229666"/>
                    </a:xfrm>
                    <a:prstGeom prst="rect">
                      <a:avLst/>
                    </a:prstGeom>
                    <a:noFill/>
                  </pic:spPr>
                </pic:pic>
              </a:graphicData>
            </a:graphic>
          </wp:inline>
        </w:drawing>
      </w:r>
    </w:p>
    <w:p w:rsidR="00257D66" w:rsidRPr="00E928FA" w:rsidRDefault="00257D66" w:rsidP="003F0FD4">
      <w:pPr>
        <w:shd w:val="clear" w:color="auto" w:fill="FFFFFF"/>
        <w:ind w:left="360"/>
        <w:rPr>
          <w:rFonts w:eastAsia="Times New Roman"/>
          <w:highlight w:val="yellow"/>
          <w:lang w:eastAsia="en-GB"/>
        </w:rPr>
      </w:pPr>
    </w:p>
    <w:p w:rsidR="00482B43" w:rsidRPr="00E30C3D" w:rsidRDefault="00482B43" w:rsidP="00315545">
      <w:pPr>
        <w:shd w:val="clear" w:color="auto" w:fill="FFFFFF"/>
        <w:rPr>
          <w:rFonts w:eastAsia="Times New Roman"/>
          <w:lang w:eastAsia="en-GB"/>
        </w:rPr>
      </w:pPr>
      <w:r w:rsidRPr="00E30C3D">
        <w:rPr>
          <w:rFonts w:eastAsia="Times New Roman"/>
          <w:lang w:eastAsia="en-GB"/>
        </w:rPr>
        <w:t>The main observations include:</w:t>
      </w:r>
    </w:p>
    <w:p w:rsidR="00482B43" w:rsidRPr="00E928FA" w:rsidRDefault="00482B43" w:rsidP="00315545">
      <w:pPr>
        <w:shd w:val="clear" w:color="auto" w:fill="FFFFFF"/>
        <w:rPr>
          <w:rFonts w:eastAsia="Times New Roman"/>
          <w:highlight w:val="yellow"/>
          <w:lang w:eastAsia="en-GB"/>
        </w:rPr>
      </w:pPr>
    </w:p>
    <w:p w:rsidR="00E30C3D" w:rsidRDefault="00E30C3D" w:rsidP="00E30C3D">
      <w:pPr>
        <w:pStyle w:val="ListParagraph"/>
        <w:numPr>
          <w:ilvl w:val="0"/>
          <w:numId w:val="11"/>
        </w:numPr>
        <w:shd w:val="clear" w:color="auto" w:fill="FFFFFF"/>
        <w:rPr>
          <w:rFonts w:eastAsia="Times New Roman"/>
          <w:lang w:eastAsia="en-GB"/>
        </w:rPr>
      </w:pPr>
      <w:r>
        <w:rPr>
          <w:rFonts w:eastAsia="Times New Roman"/>
          <w:lang w:eastAsia="en-GB"/>
        </w:rPr>
        <w:t>Investment income dropped significantly as base rates were cut to 0.5% and have steadily increased due a) in relation to the base rate increase and b) as a result of loans to companies</w:t>
      </w:r>
    </w:p>
    <w:p w:rsidR="00E30C3D" w:rsidRDefault="00E30C3D" w:rsidP="00E30C3D">
      <w:pPr>
        <w:pStyle w:val="ListParagraph"/>
        <w:numPr>
          <w:ilvl w:val="0"/>
          <w:numId w:val="11"/>
        </w:numPr>
        <w:shd w:val="clear" w:color="auto" w:fill="FFFFFF"/>
        <w:rPr>
          <w:rFonts w:eastAsia="Times New Roman"/>
          <w:lang w:eastAsia="en-GB"/>
        </w:rPr>
      </w:pPr>
      <w:r>
        <w:rPr>
          <w:rFonts w:eastAsia="Times New Roman"/>
          <w:lang w:eastAsia="en-GB"/>
        </w:rPr>
        <w:t>Some dip in car parking income in 2010/11 but equally this could be explained by the transfer of 2 park and ride sites to the County Council. Car parking income in 201</w:t>
      </w:r>
      <w:r w:rsidR="00077FD4">
        <w:rPr>
          <w:rFonts w:eastAsia="Times New Roman"/>
          <w:lang w:eastAsia="en-GB"/>
        </w:rPr>
        <w:t>7</w:t>
      </w:r>
      <w:r>
        <w:rPr>
          <w:rFonts w:eastAsia="Times New Roman"/>
          <w:lang w:eastAsia="en-GB"/>
        </w:rPr>
        <w:t>-1</w:t>
      </w:r>
      <w:r w:rsidR="00077FD4">
        <w:rPr>
          <w:rFonts w:eastAsia="Times New Roman"/>
          <w:lang w:eastAsia="en-GB"/>
        </w:rPr>
        <w:t>8</w:t>
      </w:r>
      <w:r>
        <w:rPr>
          <w:rFonts w:eastAsia="Times New Roman"/>
          <w:lang w:eastAsia="en-GB"/>
        </w:rPr>
        <w:t xml:space="preserve"> at year end will be in line with 2015-16 levels.</w:t>
      </w:r>
    </w:p>
    <w:p w:rsidR="00E30C3D" w:rsidRDefault="00E30C3D" w:rsidP="00E30C3D">
      <w:pPr>
        <w:pStyle w:val="ListParagraph"/>
        <w:numPr>
          <w:ilvl w:val="0"/>
          <w:numId w:val="11"/>
        </w:numPr>
        <w:shd w:val="clear" w:color="auto" w:fill="FFFFFF"/>
        <w:rPr>
          <w:rFonts w:eastAsia="Times New Roman"/>
          <w:lang w:eastAsia="en-GB"/>
        </w:rPr>
      </w:pPr>
      <w:r>
        <w:rPr>
          <w:rFonts w:eastAsia="Times New Roman"/>
          <w:lang w:eastAsia="en-GB"/>
        </w:rPr>
        <w:t>Planning fees show some plateauing in 2008/2009 but with steady growth thereafter</w:t>
      </w:r>
    </w:p>
    <w:p w:rsidR="00E30C3D" w:rsidRDefault="00E30C3D" w:rsidP="00E30C3D">
      <w:pPr>
        <w:pStyle w:val="ListParagraph"/>
        <w:numPr>
          <w:ilvl w:val="0"/>
          <w:numId w:val="11"/>
        </w:numPr>
        <w:shd w:val="clear" w:color="auto" w:fill="FFFFFF"/>
        <w:rPr>
          <w:rFonts w:eastAsia="Times New Roman"/>
          <w:lang w:eastAsia="en-GB"/>
        </w:rPr>
      </w:pPr>
      <w:r>
        <w:rPr>
          <w:rFonts w:eastAsia="Times New Roman"/>
          <w:lang w:eastAsia="en-GB"/>
        </w:rPr>
        <w:t>Commercial rents have continued to climb over the period, more significantly in 2014/15 which arises due to the switch of car parking income from the Westgate in favour of a fixed rental from the Westgate Development Partnership.</w:t>
      </w:r>
    </w:p>
    <w:p w:rsidR="002169FF" w:rsidRPr="00E928FA" w:rsidRDefault="002169FF" w:rsidP="002169FF">
      <w:pPr>
        <w:pStyle w:val="ListParagraph"/>
        <w:shd w:val="clear" w:color="auto" w:fill="FFFFFF"/>
        <w:rPr>
          <w:rFonts w:eastAsia="Times New Roman"/>
          <w:highlight w:val="yellow"/>
          <w:lang w:eastAsia="en-GB"/>
        </w:rPr>
      </w:pPr>
    </w:p>
    <w:p w:rsidR="00482B43" w:rsidRPr="002408A2" w:rsidRDefault="002169FF" w:rsidP="00315545">
      <w:pPr>
        <w:shd w:val="clear" w:color="auto" w:fill="FFFFFF"/>
        <w:rPr>
          <w:rFonts w:eastAsia="Times New Roman"/>
          <w:b/>
          <w:lang w:eastAsia="en-GB"/>
        </w:rPr>
      </w:pPr>
      <w:r w:rsidRPr="002408A2">
        <w:rPr>
          <w:rFonts w:eastAsia="Times New Roman"/>
          <w:b/>
          <w:lang w:eastAsia="en-GB"/>
        </w:rPr>
        <w:t>Focus on Investment Property</w:t>
      </w:r>
    </w:p>
    <w:p w:rsidR="002169FF" w:rsidRPr="002408A2" w:rsidRDefault="00B219BE" w:rsidP="00315545">
      <w:pPr>
        <w:shd w:val="clear" w:color="auto" w:fill="FFFFFF"/>
        <w:rPr>
          <w:rFonts w:eastAsia="Times New Roman"/>
          <w:b/>
          <w:lang w:eastAsia="en-GB"/>
        </w:rPr>
      </w:pPr>
      <w:r w:rsidRPr="002408A2">
        <w:rPr>
          <w:rFonts w:eastAsia="Times New Roman"/>
          <w:b/>
          <w:lang w:eastAsia="en-GB"/>
        </w:rPr>
        <w:tab/>
      </w:r>
    </w:p>
    <w:p w:rsidR="002169FF" w:rsidRPr="002408A2" w:rsidRDefault="00482B43" w:rsidP="00B219BE">
      <w:pPr>
        <w:ind w:left="720"/>
      </w:pPr>
      <w:r w:rsidRPr="002408A2">
        <w:t xml:space="preserve">The Council has a commercial portfolio that currently is estimated to deliver a rental stream of </w:t>
      </w:r>
      <w:r w:rsidR="00D16F06" w:rsidRPr="002408A2">
        <w:t xml:space="preserve">around </w:t>
      </w:r>
      <w:r w:rsidRPr="002408A2">
        <w:t>£1</w:t>
      </w:r>
      <w:r w:rsidR="00FE6CDC" w:rsidRPr="002408A2">
        <w:t>2</w:t>
      </w:r>
      <w:r w:rsidRPr="002408A2">
        <w:t>m in 201</w:t>
      </w:r>
      <w:r w:rsidR="00FE6CDC" w:rsidRPr="002408A2">
        <w:t>7</w:t>
      </w:r>
      <w:r w:rsidRPr="002408A2">
        <w:t>/1</w:t>
      </w:r>
      <w:r w:rsidR="00FE6CDC" w:rsidRPr="002408A2">
        <w:t>8</w:t>
      </w:r>
      <w:r w:rsidRPr="002408A2">
        <w:t xml:space="preserve">. </w:t>
      </w:r>
    </w:p>
    <w:p w:rsidR="00A53C7C" w:rsidRPr="002408A2" w:rsidRDefault="00A53C7C" w:rsidP="00A53C7C">
      <w:pPr>
        <w:rPr>
          <w:rFonts w:eastAsia="Times New Roman"/>
          <w:b/>
          <w:lang w:eastAsia="en-GB"/>
        </w:rPr>
      </w:pPr>
    </w:p>
    <w:p w:rsidR="002169FF" w:rsidRPr="002408A2" w:rsidRDefault="00CE661D" w:rsidP="002408A2">
      <w:pPr>
        <w:shd w:val="clear" w:color="auto" w:fill="FFFFFF"/>
        <w:ind w:firstLine="720"/>
        <w:rPr>
          <w:rFonts w:eastAsia="Times New Roman"/>
          <w:b/>
          <w:lang w:eastAsia="en-GB"/>
        </w:rPr>
      </w:pPr>
      <w:r w:rsidRPr="002408A2">
        <w:rPr>
          <w:rFonts w:eastAsia="Times New Roman"/>
          <w:b/>
          <w:lang w:eastAsia="en-GB"/>
        </w:rPr>
        <w:t xml:space="preserve">Analysis of Commercial Property Rental Income </w:t>
      </w:r>
      <w:proofErr w:type="gramStart"/>
      <w:r w:rsidRPr="002408A2">
        <w:rPr>
          <w:rFonts w:eastAsia="Times New Roman"/>
          <w:b/>
          <w:lang w:eastAsia="en-GB"/>
        </w:rPr>
        <w:t>By</w:t>
      </w:r>
      <w:proofErr w:type="gramEnd"/>
      <w:r w:rsidRPr="002408A2">
        <w:rPr>
          <w:rFonts w:eastAsia="Times New Roman"/>
          <w:b/>
          <w:lang w:eastAsia="en-GB"/>
        </w:rPr>
        <w:t xml:space="preserve"> Type of Holding</w:t>
      </w:r>
    </w:p>
    <w:p w:rsidR="00CE661D" w:rsidRPr="00E928FA" w:rsidRDefault="00CE661D" w:rsidP="00315545">
      <w:pPr>
        <w:shd w:val="clear" w:color="auto" w:fill="FFFFFF"/>
        <w:rPr>
          <w:rFonts w:eastAsia="Times New Roman"/>
          <w:b/>
          <w:highlight w:val="yellow"/>
          <w:lang w:eastAsia="en-GB"/>
        </w:rPr>
      </w:pPr>
    </w:p>
    <w:p w:rsidR="002169FF" w:rsidRPr="00E928FA" w:rsidRDefault="00CE661D" w:rsidP="002169FF">
      <w:pPr>
        <w:pStyle w:val="ListParagraph"/>
        <w:rPr>
          <w:highlight w:val="yellow"/>
        </w:rPr>
      </w:pPr>
      <w:r w:rsidRPr="00E928FA">
        <w:rPr>
          <w:noProof/>
          <w:highlight w:val="yellow"/>
          <w:lang w:eastAsia="en-GB"/>
        </w:rPr>
        <w:lastRenderedPageBreak/>
        <w:drawing>
          <wp:inline distT="0" distB="0" distL="0" distR="0" wp14:anchorId="6F9E3ADC" wp14:editId="2444EFC0">
            <wp:extent cx="2943225" cy="401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4019550"/>
                    </a:xfrm>
                    <a:prstGeom prst="rect">
                      <a:avLst/>
                    </a:prstGeom>
                    <a:noFill/>
                    <a:ln>
                      <a:noFill/>
                    </a:ln>
                  </pic:spPr>
                </pic:pic>
              </a:graphicData>
            </a:graphic>
          </wp:inline>
        </w:drawing>
      </w:r>
    </w:p>
    <w:p w:rsidR="002408A2" w:rsidRPr="002408A2" w:rsidRDefault="002408A2" w:rsidP="002169FF">
      <w:pPr>
        <w:ind w:left="720"/>
      </w:pPr>
    </w:p>
    <w:p w:rsidR="00CE661D" w:rsidRPr="002408A2" w:rsidRDefault="00A53C7C" w:rsidP="002169FF">
      <w:pPr>
        <w:ind w:left="720"/>
      </w:pPr>
      <w:r w:rsidRPr="002408A2">
        <w:t xml:space="preserve">There has been no </w:t>
      </w:r>
      <w:r w:rsidR="005806B1" w:rsidRPr="002408A2">
        <w:t>marked change in income since the Brexit deci</w:t>
      </w:r>
      <w:r w:rsidR="002408A2" w:rsidRPr="002408A2">
        <w:t>sion although the retail sector is of particular concern and the Council may need to consider diversifying its holdings</w:t>
      </w:r>
      <w:r w:rsidR="009E6B8F">
        <w:t>.</w:t>
      </w:r>
    </w:p>
    <w:p w:rsidR="002169FF" w:rsidRPr="00E928FA" w:rsidRDefault="002169FF" w:rsidP="002169FF">
      <w:pPr>
        <w:pStyle w:val="ListParagraph"/>
        <w:rPr>
          <w:highlight w:val="yellow"/>
        </w:rPr>
      </w:pPr>
    </w:p>
    <w:p w:rsidR="00193251" w:rsidRPr="00E928FA" w:rsidRDefault="00193251" w:rsidP="002169FF">
      <w:pPr>
        <w:pStyle w:val="ListParagraph"/>
        <w:rPr>
          <w:highlight w:val="yellow"/>
        </w:rPr>
      </w:pPr>
    </w:p>
    <w:p w:rsidR="00060F0A" w:rsidRDefault="002169FF" w:rsidP="002169FF">
      <w:pPr>
        <w:rPr>
          <w:b/>
        </w:rPr>
      </w:pPr>
      <w:r w:rsidRPr="00FD044D">
        <w:rPr>
          <w:b/>
        </w:rPr>
        <w:tab/>
      </w:r>
      <w:r w:rsidR="00060F0A">
        <w:rPr>
          <w:b/>
        </w:rPr>
        <w:t>Labour Force</w:t>
      </w:r>
    </w:p>
    <w:p w:rsidR="00060F0A" w:rsidRPr="00167FDA" w:rsidRDefault="00060F0A" w:rsidP="00060F0A">
      <w:pPr>
        <w:ind w:left="720"/>
      </w:pPr>
      <w:r w:rsidRPr="00167FDA">
        <w:t xml:space="preserve">Although the current </w:t>
      </w:r>
      <w:proofErr w:type="gramStart"/>
      <w:r w:rsidR="00167FDA" w:rsidRPr="00167FDA">
        <w:t>developments</w:t>
      </w:r>
      <w:r w:rsidRPr="00167FDA">
        <w:t xml:space="preserve"> on Brexit </w:t>
      </w:r>
      <w:r w:rsidR="00167FDA">
        <w:t>gives</w:t>
      </w:r>
      <w:proofErr w:type="gramEnd"/>
      <w:r w:rsidR="00167FDA">
        <w:t xml:space="preserve"> </w:t>
      </w:r>
      <w:r w:rsidRPr="00167FDA">
        <w:t xml:space="preserve">some assurance for EU Nationals living in the UK this has still to be </w:t>
      </w:r>
      <w:r w:rsidR="00167FDA">
        <w:t>agreed</w:t>
      </w:r>
      <w:r w:rsidRPr="00167FDA">
        <w:t xml:space="preserve">. In terms of the 1200 labour force in Oxford City Council </w:t>
      </w:r>
      <w:r w:rsidR="00167FDA" w:rsidRPr="00167FDA">
        <w:t>only 29 are declared as EU nationals (13 in the Council and 16</w:t>
      </w:r>
      <w:r w:rsidR="00167FDA">
        <w:t xml:space="preserve"> in Oxford Direct Services Ltd) although there are around 85 undeclared </w:t>
      </w:r>
      <w:proofErr w:type="gramStart"/>
      <w:r w:rsidR="00167FDA">
        <w:t>nationality</w:t>
      </w:r>
      <w:proofErr w:type="gramEnd"/>
      <w:r w:rsidR="00167FDA">
        <w:t>.</w:t>
      </w:r>
    </w:p>
    <w:p w:rsidR="00060F0A" w:rsidRDefault="00060F0A" w:rsidP="002169FF">
      <w:pPr>
        <w:rPr>
          <w:b/>
        </w:rPr>
      </w:pPr>
    </w:p>
    <w:p w:rsidR="00060F0A" w:rsidRDefault="00060F0A" w:rsidP="002169FF">
      <w:pPr>
        <w:rPr>
          <w:b/>
        </w:rPr>
      </w:pPr>
    </w:p>
    <w:p w:rsidR="002169FF" w:rsidRPr="00FD044D" w:rsidRDefault="002169FF" w:rsidP="00060F0A">
      <w:pPr>
        <w:ind w:firstLine="720"/>
        <w:rPr>
          <w:b/>
        </w:rPr>
      </w:pPr>
      <w:r w:rsidRPr="00FD044D">
        <w:rPr>
          <w:b/>
        </w:rPr>
        <w:t>Business Rates</w:t>
      </w:r>
    </w:p>
    <w:p w:rsidR="00FE21C4" w:rsidRPr="00E928FA" w:rsidRDefault="00FE21C4" w:rsidP="002169FF">
      <w:pPr>
        <w:rPr>
          <w:b/>
          <w:highlight w:val="yellow"/>
        </w:rPr>
      </w:pPr>
    </w:p>
    <w:p w:rsidR="00FD044D" w:rsidRPr="00FD044D" w:rsidRDefault="00FD044D" w:rsidP="00FD044D">
      <w:pPr>
        <w:pStyle w:val="ListParagraph"/>
      </w:pPr>
      <w:r w:rsidRPr="00FD044D">
        <w:t>The business rates net collectable debit in Oxford City is shown as follows</w:t>
      </w:r>
    </w:p>
    <w:p w:rsidR="00FD044D" w:rsidRPr="00FD044D" w:rsidRDefault="00FD044D" w:rsidP="00FD044D">
      <w:pPr>
        <w:pStyle w:val="ListParagraph"/>
        <w:ind w:hanging="720"/>
      </w:pPr>
    </w:p>
    <w:tbl>
      <w:tblPr>
        <w:tblW w:w="0" w:type="auto"/>
        <w:tblInd w:w="720" w:type="dxa"/>
        <w:tblCellMar>
          <w:left w:w="0" w:type="dxa"/>
          <w:right w:w="0" w:type="dxa"/>
        </w:tblCellMar>
        <w:tblLook w:val="04A0" w:firstRow="1" w:lastRow="0" w:firstColumn="1" w:lastColumn="0" w:noHBand="0" w:noVBand="1"/>
      </w:tblPr>
      <w:tblGrid>
        <w:gridCol w:w="2959"/>
        <w:gridCol w:w="2906"/>
        <w:gridCol w:w="2559"/>
      </w:tblGrid>
      <w:tr w:rsidR="00FD044D" w:rsidRPr="00FD044D" w:rsidTr="00060F0A">
        <w:tc>
          <w:tcPr>
            <w:tcW w:w="58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rPr>
                <w:b/>
                <w:bCs/>
              </w:rPr>
            </w:pPr>
            <w:r w:rsidRPr="00FD044D">
              <w:rPr>
                <w:b/>
                <w:bCs/>
              </w:rPr>
              <w:t>Business rates net collectable debit</w:t>
            </w:r>
          </w:p>
        </w:tc>
        <w:tc>
          <w:tcPr>
            <w:tcW w:w="2559" w:type="dxa"/>
            <w:tcBorders>
              <w:top w:val="single" w:sz="8" w:space="0" w:color="auto"/>
              <w:left w:val="single" w:sz="8" w:space="0" w:color="auto"/>
              <w:bottom w:val="single" w:sz="8" w:space="0" w:color="auto"/>
              <w:right w:val="single" w:sz="8" w:space="0" w:color="auto"/>
            </w:tcBorders>
          </w:tcPr>
          <w:p w:rsidR="00FD044D" w:rsidRPr="00FD044D" w:rsidRDefault="00FD044D" w:rsidP="00060F0A">
            <w:pPr>
              <w:pStyle w:val="ListParagraph"/>
              <w:ind w:left="0"/>
              <w:rPr>
                <w:b/>
                <w:bCs/>
              </w:rPr>
            </w:pP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044D" w:rsidRPr="00FD044D" w:rsidRDefault="00FD044D" w:rsidP="00060F0A">
            <w:pPr>
              <w:pStyle w:val="ListParagraph"/>
              <w:ind w:left="0"/>
              <w:rPr>
                <w:b/>
                <w:bCs/>
              </w:rPr>
            </w:pP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jc w:val="right"/>
              <w:rPr>
                <w:b/>
                <w:bCs/>
              </w:rPr>
            </w:pPr>
            <w:r w:rsidRPr="00FD044D">
              <w:rPr>
                <w:b/>
                <w:bCs/>
              </w:rPr>
              <w:t>£000’s</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rPr>
                <w:b/>
                <w:bCs/>
              </w:rPr>
            </w:pPr>
            <w:r w:rsidRPr="00FD044D">
              <w:rPr>
                <w:b/>
                <w:bCs/>
              </w:rPr>
              <w:t>Hereditam</w:t>
            </w:r>
            <w:bookmarkStart w:id="0" w:name="_GoBack"/>
            <w:bookmarkEnd w:id="0"/>
            <w:r w:rsidRPr="00FD044D">
              <w:rPr>
                <w:b/>
                <w:bCs/>
              </w:rPr>
              <w:t>ents</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pPr>
            <w:r w:rsidRPr="00FD044D">
              <w:t>2013/14</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jc w:val="right"/>
            </w:pPr>
            <w:r w:rsidRPr="00FD044D">
              <w:t>85,581</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pPr>
            <w:r w:rsidRPr="00FD044D">
              <w:t>3,895</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pPr>
            <w:r w:rsidRPr="00FD044D">
              <w:t>2014/15</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jc w:val="right"/>
            </w:pPr>
            <w:r w:rsidRPr="00FD044D">
              <w:t>86,669</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pPr>
            <w:r w:rsidRPr="00FD044D">
              <w:t>4,005</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pPr>
            <w:r w:rsidRPr="00FD044D">
              <w:t>2015/16</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jc w:val="right"/>
            </w:pPr>
            <w:r w:rsidRPr="00FD044D">
              <w:t>88,488</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pPr>
            <w:r w:rsidRPr="00FD044D">
              <w:t>3,993</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pPr>
            <w:r w:rsidRPr="00FD044D">
              <w:t>2016/17</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FD044D" w:rsidRPr="00FD044D" w:rsidRDefault="00FD044D" w:rsidP="00060F0A">
            <w:pPr>
              <w:pStyle w:val="ListParagraph"/>
              <w:ind w:left="0"/>
              <w:jc w:val="right"/>
            </w:pPr>
            <w:r w:rsidRPr="00FD044D">
              <w:t>89,497</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pPr>
            <w:r w:rsidRPr="00FD044D">
              <w:t>4,010</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044D" w:rsidRPr="00FD044D" w:rsidRDefault="00FD044D" w:rsidP="00060F0A">
            <w:pPr>
              <w:pStyle w:val="ListParagraph"/>
              <w:ind w:left="0"/>
            </w:pPr>
            <w:r w:rsidRPr="00FD044D">
              <w:t>2017/18</w:t>
            </w:r>
          </w:p>
        </w:tc>
        <w:tc>
          <w:tcPr>
            <w:tcW w:w="2906" w:type="dxa"/>
            <w:tcBorders>
              <w:top w:val="nil"/>
              <w:left w:val="nil"/>
              <w:bottom w:val="single" w:sz="8" w:space="0" w:color="auto"/>
              <w:right w:val="single" w:sz="8" w:space="0" w:color="auto"/>
            </w:tcBorders>
            <w:tcMar>
              <w:top w:w="0" w:type="dxa"/>
              <w:left w:w="108" w:type="dxa"/>
              <w:bottom w:w="0" w:type="dxa"/>
              <w:right w:w="108" w:type="dxa"/>
            </w:tcMar>
          </w:tcPr>
          <w:p w:rsidR="00FD044D" w:rsidRPr="00FD044D" w:rsidRDefault="00FD044D" w:rsidP="00060F0A">
            <w:pPr>
              <w:pStyle w:val="ListParagraph"/>
              <w:ind w:left="0"/>
              <w:jc w:val="right"/>
            </w:pPr>
            <w:r w:rsidRPr="00FD044D">
              <w:rPr>
                <w:color w:val="000000"/>
              </w:rPr>
              <w:t>95,349</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rPr>
                <w:color w:val="000000"/>
              </w:rPr>
            </w:pPr>
            <w:r w:rsidRPr="00FD044D">
              <w:rPr>
                <w:color w:val="000000"/>
              </w:rPr>
              <w:t>4,286</w:t>
            </w:r>
          </w:p>
        </w:tc>
      </w:tr>
      <w:tr w:rsidR="00FD044D" w:rsidRPr="00FD044D" w:rsidTr="00060F0A">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044D" w:rsidRPr="00FD044D" w:rsidRDefault="00FD044D" w:rsidP="00060F0A">
            <w:pPr>
              <w:pStyle w:val="ListParagraph"/>
              <w:ind w:left="0"/>
            </w:pPr>
            <w:r w:rsidRPr="00FD044D">
              <w:t>2018/19</w:t>
            </w:r>
          </w:p>
        </w:tc>
        <w:tc>
          <w:tcPr>
            <w:tcW w:w="2906" w:type="dxa"/>
            <w:tcBorders>
              <w:top w:val="nil"/>
              <w:left w:val="nil"/>
              <w:bottom w:val="single" w:sz="8" w:space="0" w:color="auto"/>
              <w:right w:val="single" w:sz="8" w:space="0" w:color="auto"/>
            </w:tcBorders>
            <w:tcMar>
              <w:top w:w="0" w:type="dxa"/>
              <w:left w:w="108" w:type="dxa"/>
              <w:bottom w:w="0" w:type="dxa"/>
              <w:right w:w="108" w:type="dxa"/>
            </w:tcMar>
          </w:tcPr>
          <w:p w:rsidR="00FD044D" w:rsidRPr="00FD044D" w:rsidRDefault="00FD044D" w:rsidP="00060F0A">
            <w:pPr>
              <w:pStyle w:val="ListParagraph"/>
              <w:ind w:left="0"/>
              <w:jc w:val="right"/>
            </w:pPr>
            <w:r w:rsidRPr="00FD044D">
              <w:t>107,482</w:t>
            </w:r>
          </w:p>
        </w:tc>
        <w:tc>
          <w:tcPr>
            <w:tcW w:w="2559" w:type="dxa"/>
            <w:tcBorders>
              <w:top w:val="nil"/>
              <w:left w:val="nil"/>
              <w:bottom w:val="single" w:sz="8" w:space="0" w:color="auto"/>
              <w:right w:val="single" w:sz="8" w:space="0" w:color="auto"/>
            </w:tcBorders>
          </w:tcPr>
          <w:p w:rsidR="00FD044D" w:rsidRPr="00FD044D" w:rsidRDefault="00FD044D" w:rsidP="00060F0A">
            <w:pPr>
              <w:pStyle w:val="ListParagraph"/>
              <w:ind w:left="0"/>
              <w:jc w:val="right"/>
              <w:rPr>
                <w:color w:val="000000"/>
              </w:rPr>
            </w:pPr>
            <w:r w:rsidRPr="00FD044D">
              <w:rPr>
                <w:color w:val="000000"/>
              </w:rPr>
              <w:t>4,365</w:t>
            </w:r>
          </w:p>
        </w:tc>
      </w:tr>
    </w:tbl>
    <w:p w:rsidR="00FD044D" w:rsidRPr="00FD044D" w:rsidRDefault="00FD044D" w:rsidP="00FD044D">
      <w:pPr>
        <w:pStyle w:val="ListParagraph"/>
        <w:ind w:hanging="720"/>
      </w:pPr>
    </w:p>
    <w:p w:rsidR="00FD044D" w:rsidRPr="00FD044D" w:rsidRDefault="00FD044D" w:rsidP="00FD044D">
      <w:pPr>
        <w:pStyle w:val="ListParagraph"/>
        <w:ind w:hanging="720"/>
      </w:pPr>
    </w:p>
    <w:p w:rsidR="00FD044D" w:rsidRPr="00E928FA" w:rsidRDefault="00FD044D" w:rsidP="00FD044D">
      <w:pPr>
        <w:ind w:left="720"/>
        <w:rPr>
          <w:highlight w:val="yellow"/>
        </w:rPr>
      </w:pPr>
      <w:r w:rsidRPr="00FD044D">
        <w:t>The table above shows our Business Rates income has increased significantly from October 2017 due to the opening of the new Westgate shopping centre. In the latest 2017 valuation list (</w:t>
      </w:r>
      <w:r w:rsidRPr="00FD044D">
        <w:rPr>
          <w:color w:val="000000"/>
        </w:rPr>
        <w:t>dated March 31</w:t>
      </w:r>
      <w:r w:rsidRPr="00FD044D">
        <w:rPr>
          <w:color w:val="000000"/>
          <w:vertAlign w:val="superscript"/>
        </w:rPr>
        <w:t>st</w:t>
      </w:r>
      <w:r w:rsidRPr="00FD044D">
        <w:rPr>
          <w:color w:val="000000"/>
        </w:rPr>
        <w:t xml:space="preserve"> 2018</w:t>
      </w:r>
      <w:r w:rsidRPr="00FD044D">
        <w:t>) we have 26 properties with rateable values of £1 million</w:t>
      </w:r>
      <w:r w:rsidRPr="00FD044D">
        <w:rPr>
          <w:color w:val="000000"/>
        </w:rPr>
        <w:t xml:space="preserve"> or over</w:t>
      </w:r>
      <w:r w:rsidRPr="00FD044D">
        <w:t> totalling £66.0 million (24</w:t>
      </w:r>
      <w:r w:rsidRPr="00FD044D">
        <w:rPr>
          <w:color w:val="000000"/>
        </w:rPr>
        <w:t>.1</w:t>
      </w:r>
      <w:r w:rsidRPr="00FD044D">
        <w:t xml:space="preserve">% of total rateable value) out of a total of </w:t>
      </w:r>
      <w:r w:rsidRPr="00FD044D">
        <w:rPr>
          <w:color w:val="000000"/>
        </w:rPr>
        <w:t>4,286</w:t>
      </w:r>
      <w:r w:rsidRPr="00FD044D">
        <w:t xml:space="preserve"> properties with a total rateable value of £273.8 million.  </w:t>
      </w:r>
    </w:p>
    <w:p w:rsidR="00FD044D" w:rsidRPr="00E928FA" w:rsidRDefault="00FD044D" w:rsidP="00FD044D">
      <w:pPr>
        <w:rPr>
          <w:highlight w:val="yellow"/>
        </w:rPr>
      </w:pPr>
    </w:p>
    <w:p w:rsidR="00FD044D" w:rsidRPr="00FD044D" w:rsidRDefault="00FD044D" w:rsidP="00FD044D">
      <w:pPr>
        <w:rPr>
          <w:b/>
        </w:rPr>
      </w:pPr>
      <w:r w:rsidRPr="00FD044D">
        <w:tab/>
      </w:r>
      <w:r w:rsidRPr="00FD044D">
        <w:rPr>
          <w:b/>
        </w:rPr>
        <w:t>Highest rating assessments</w:t>
      </w:r>
    </w:p>
    <w:p w:rsidR="00FD044D" w:rsidRPr="00FD044D" w:rsidRDefault="00FD044D" w:rsidP="00FD044D">
      <w:r w:rsidRPr="00FD044D">
        <w:tab/>
      </w:r>
    </w:p>
    <w:tbl>
      <w:tblPr>
        <w:tblStyle w:val="TableGrid"/>
        <w:tblW w:w="0" w:type="auto"/>
        <w:tblInd w:w="675" w:type="dxa"/>
        <w:tblLook w:val="04A0" w:firstRow="1" w:lastRow="0" w:firstColumn="1" w:lastColumn="0" w:noHBand="0" w:noVBand="1"/>
      </w:tblPr>
      <w:tblGrid>
        <w:gridCol w:w="3946"/>
        <w:gridCol w:w="4621"/>
      </w:tblGrid>
      <w:tr w:rsidR="00FD044D" w:rsidRPr="00FD044D" w:rsidTr="00060F0A">
        <w:tc>
          <w:tcPr>
            <w:tcW w:w="8567" w:type="dxa"/>
            <w:gridSpan w:val="2"/>
          </w:tcPr>
          <w:p w:rsidR="00FD044D" w:rsidRPr="00FD044D" w:rsidRDefault="00FD044D" w:rsidP="00060F0A">
            <w:pPr>
              <w:jc w:val="both"/>
              <w:rPr>
                <w:b/>
              </w:rPr>
            </w:pPr>
            <w:r w:rsidRPr="00FD044D">
              <w:rPr>
                <w:b/>
              </w:rPr>
              <w:t xml:space="preserve">Rating </w:t>
            </w:r>
            <w:proofErr w:type="spellStart"/>
            <w:r w:rsidRPr="00FD044D">
              <w:rPr>
                <w:b/>
              </w:rPr>
              <w:t>Assements</w:t>
            </w:r>
            <w:proofErr w:type="spellEnd"/>
            <w:r w:rsidRPr="00FD044D">
              <w:rPr>
                <w:b/>
              </w:rPr>
              <w:t xml:space="preserve"> 2018-19                                                                         RV</w:t>
            </w:r>
          </w:p>
        </w:tc>
      </w:tr>
      <w:tr w:rsidR="00FD044D" w:rsidRPr="00FD044D" w:rsidTr="00060F0A">
        <w:tc>
          <w:tcPr>
            <w:tcW w:w="3946" w:type="dxa"/>
          </w:tcPr>
          <w:p w:rsidR="00FD044D" w:rsidRPr="00FD044D" w:rsidRDefault="00FD044D" w:rsidP="00060F0A"/>
        </w:tc>
        <w:tc>
          <w:tcPr>
            <w:tcW w:w="4621" w:type="dxa"/>
          </w:tcPr>
          <w:p w:rsidR="00FD044D" w:rsidRPr="00FD044D" w:rsidRDefault="00FD044D" w:rsidP="00060F0A">
            <w:pPr>
              <w:jc w:val="right"/>
              <w:rPr>
                <w:b/>
              </w:rPr>
            </w:pPr>
            <w:r w:rsidRPr="00FD044D">
              <w:rPr>
                <w:b/>
              </w:rPr>
              <w:t>£000’s</w:t>
            </w:r>
          </w:p>
        </w:tc>
      </w:tr>
      <w:tr w:rsidR="00FD044D" w:rsidRPr="00FD044D" w:rsidTr="00060F0A">
        <w:tc>
          <w:tcPr>
            <w:tcW w:w="3946" w:type="dxa"/>
          </w:tcPr>
          <w:p w:rsidR="00FD044D" w:rsidRPr="00FD044D" w:rsidRDefault="00FD044D" w:rsidP="00060F0A">
            <w:r w:rsidRPr="00FD044D">
              <w:t>Oxford University Science Area</w:t>
            </w:r>
          </w:p>
        </w:tc>
        <w:tc>
          <w:tcPr>
            <w:tcW w:w="4621" w:type="dxa"/>
          </w:tcPr>
          <w:p w:rsidR="00FD044D" w:rsidRPr="00FD044D" w:rsidRDefault="00FD044D" w:rsidP="00FD044D">
            <w:pPr>
              <w:jc w:val="right"/>
            </w:pPr>
            <w:r w:rsidRPr="00FD044D">
              <w:t>12,560</w:t>
            </w:r>
          </w:p>
        </w:tc>
      </w:tr>
      <w:tr w:rsidR="00FD044D" w:rsidRPr="00FD044D" w:rsidTr="00060F0A">
        <w:tc>
          <w:tcPr>
            <w:tcW w:w="3946" w:type="dxa"/>
          </w:tcPr>
          <w:p w:rsidR="00FD044D" w:rsidRPr="00FD044D" w:rsidRDefault="00FD044D" w:rsidP="00060F0A">
            <w:r w:rsidRPr="00FD044D">
              <w:t>BMW Motor Vehicle Works</w:t>
            </w:r>
          </w:p>
        </w:tc>
        <w:tc>
          <w:tcPr>
            <w:tcW w:w="4621" w:type="dxa"/>
          </w:tcPr>
          <w:p w:rsidR="00FD044D" w:rsidRPr="00FD044D" w:rsidRDefault="00FD044D" w:rsidP="00FD044D">
            <w:pPr>
              <w:jc w:val="right"/>
            </w:pPr>
            <w:r w:rsidRPr="00FD044D">
              <w:t>7,940</w:t>
            </w:r>
          </w:p>
        </w:tc>
      </w:tr>
      <w:tr w:rsidR="00FD044D" w:rsidRPr="00FD044D" w:rsidTr="00060F0A">
        <w:tc>
          <w:tcPr>
            <w:tcW w:w="3946" w:type="dxa"/>
          </w:tcPr>
          <w:p w:rsidR="00FD044D" w:rsidRPr="00FD044D" w:rsidRDefault="00FD044D" w:rsidP="00060F0A">
            <w:r w:rsidRPr="00FD044D">
              <w:t>John Radcliffe Hospital</w:t>
            </w:r>
          </w:p>
        </w:tc>
        <w:tc>
          <w:tcPr>
            <w:tcW w:w="4621" w:type="dxa"/>
          </w:tcPr>
          <w:p w:rsidR="00FD044D" w:rsidRPr="00FD044D" w:rsidRDefault="00FD044D" w:rsidP="00FD044D">
            <w:pPr>
              <w:jc w:val="right"/>
            </w:pPr>
            <w:r w:rsidRPr="00FD044D">
              <w:t>6,130</w:t>
            </w:r>
          </w:p>
        </w:tc>
      </w:tr>
      <w:tr w:rsidR="00FD044D" w:rsidRPr="00FD044D" w:rsidTr="00060F0A">
        <w:tc>
          <w:tcPr>
            <w:tcW w:w="3946" w:type="dxa"/>
          </w:tcPr>
          <w:p w:rsidR="00FD044D" w:rsidRPr="00FD044D" w:rsidRDefault="00FD044D" w:rsidP="00060F0A">
            <w:r w:rsidRPr="00FD044D">
              <w:t>Oxford University – Old Road Campus</w:t>
            </w:r>
          </w:p>
        </w:tc>
        <w:tc>
          <w:tcPr>
            <w:tcW w:w="4621" w:type="dxa"/>
          </w:tcPr>
          <w:p w:rsidR="00FD044D" w:rsidRPr="00FD044D" w:rsidRDefault="00FD044D" w:rsidP="00FD044D">
            <w:pPr>
              <w:jc w:val="right"/>
            </w:pPr>
            <w:r w:rsidRPr="00FD044D">
              <w:t>3,960</w:t>
            </w:r>
          </w:p>
        </w:tc>
      </w:tr>
      <w:tr w:rsidR="00FD044D" w:rsidRPr="00FD044D" w:rsidTr="00060F0A">
        <w:tc>
          <w:tcPr>
            <w:tcW w:w="3946" w:type="dxa"/>
          </w:tcPr>
          <w:p w:rsidR="00FD044D" w:rsidRPr="00FD044D" w:rsidRDefault="00FD044D" w:rsidP="00060F0A">
            <w:r w:rsidRPr="00FD044D">
              <w:t>Oxford Brookes University</w:t>
            </w:r>
          </w:p>
        </w:tc>
        <w:tc>
          <w:tcPr>
            <w:tcW w:w="4621" w:type="dxa"/>
          </w:tcPr>
          <w:p w:rsidR="00FD044D" w:rsidRPr="00FD044D" w:rsidRDefault="00FD044D" w:rsidP="00FD044D">
            <w:pPr>
              <w:jc w:val="right"/>
            </w:pPr>
            <w:r w:rsidRPr="00FD044D">
              <w:t>3,700</w:t>
            </w:r>
          </w:p>
        </w:tc>
      </w:tr>
      <w:tr w:rsidR="00FD044D" w:rsidRPr="00FD044D" w:rsidTr="00060F0A">
        <w:tc>
          <w:tcPr>
            <w:tcW w:w="3946" w:type="dxa"/>
          </w:tcPr>
          <w:p w:rsidR="00FD044D" w:rsidRPr="00FD044D" w:rsidRDefault="00FD044D" w:rsidP="00060F0A">
            <w:r w:rsidRPr="00FD044D">
              <w:t>Unipart Limited</w:t>
            </w:r>
          </w:p>
        </w:tc>
        <w:tc>
          <w:tcPr>
            <w:tcW w:w="4621" w:type="dxa"/>
          </w:tcPr>
          <w:p w:rsidR="00FD044D" w:rsidRPr="00FD044D" w:rsidRDefault="00FD044D" w:rsidP="00FD044D">
            <w:pPr>
              <w:jc w:val="right"/>
            </w:pPr>
            <w:r w:rsidRPr="00FD044D">
              <w:t>2,610</w:t>
            </w:r>
          </w:p>
        </w:tc>
      </w:tr>
      <w:tr w:rsidR="00FD044D" w:rsidRPr="00FD044D" w:rsidTr="00060F0A">
        <w:tc>
          <w:tcPr>
            <w:tcW w:w="3946" w:type="dxa"/>
          </w:tcPr>
          <w:p w:rsidR="00FD044D" w:rsidRPr="00FD044D" w:rsidRDefault="00FD044D" w:rsidP="00060F0A">
            <w:proofErr w:type="spellStart"/>
            <w:r w:rsidRPr="00FD044D">
              <w:t>Sainsburys</w:t>
            </w:r>
            <w:proofErr w:type="spellEnd"/>
            <w:r w:rsidRPr="00FD044D">
              <w:t xml:space="preserve"> Superstore</w:t>
            </w:r>
          </w:p>
        </w:tc>
        <w:tc>
          <w:tcPr>
            <w:tcW w:w="4621" w:type="dxa"/>
          </w:tcPr>
          <w:p w:rsidR="00FD044D" w:rsidRPr="00FD044D" w:rsidRDefault="00FD044D" w:rsidP="00FD044D">
            <w:pPr>
              <w:jc w:val="right"/>
            </w:pPr>
            <w:r w:rsidRPr="00FD044D">
              <w:t>2,600</w:t>
            </w:r>
          </w:p>
        </w:tc>
      </w:tr>
      <w:tr w:rsidR="00FD044D" w:rsidRPr="00FD044D" w:rsidTr="00060F0A">
        <w:tc>
          <w:tcPr>
            <w:tcW w:w="3946" w:type="dxa"/>
          </w:tcPr>
          <w:p w:rsidR="00FD044D" w:rsidRPr="00FD044D" w:rsidRDefault="00FD044D" w:rsidP="00060F0A">
            <w:r w:rsidRPr="00FD044D">
              <w:t>Virgin Media, Shelley Court</w:t>
            </w:r>
          </w:p>
        </w:tc>
        <w:tc>
          <w:tcPr>
            <w:tcW w:w="4621" w:type="dxa"/>
          </w:tcPr>
          <w:p w:rsidR="00FD044D" w:rsidRPr="00FD044D" w:rsidRDefault="00FD044D" w:rsidP="00FD044D">
            <w:pPr>
              <w:jc w:val="right"/>
            </w:pPr>
            <w:r w:rsidRPr="00FD044D">
              <w:t>2,240</w:t>
            </w:r>
          </w:p>
        </w:tc>
      </w:tr>
      <w:tr w:rsidR="00FD044D" w:rsidRPr="00FD044D" w:rsidTr="00060F0A">
        <w:tc>
          <w:tcPr>
            <w:tcW w:w="3946" w:type="dxa"/>
          </w:tcPr>
          <w:p w:rsidR="00FD044D" w:rsidRPr="00FD044D" w:rsidRDefault="00FD044D" w:rsidP="00060F0A">
            <w:r w:rsidRPr="00FD044D">
              <w:t>Others with RV of £1m or more</w:t>
            </w:r>
          </w:p>
        </w:tc>
        <w:tc>
          <w:tcPr>
            <w:tcW w:w="4621" w:type="dxa"/>
          </w:tcPr>
          <w:p w:rsidR="00FD044D" w:rsidRPr="00FD044D" w:rsidRDefault="00FD044D" w:rsidP="00FD044D">
            <w:pPr>
              <w:jc w:val="right"/>
            </w:pPr>
            <w:r w:rsidRPr="00FD044D">
              <w:t>24,250</w:t>
            </w:r>
          </w:p>
        </w:tc>
      </w:tr>
      <w:tr w:rsidR="00FD044D" w:rsidRPr="00FD044D" w:rsidTr="00060F0A">
        <w:tc>
          <w:tcPr>
            <w:tcW w:w="3946" w:type="dxa"/>
          </w:tcPr>
          <w:p w:rsidR="00FD044D" w:rsidRPr="00FD044D" w:rsidRDefault="00FD044D" w:rsidP="00060F0A">
            <w:r w:rsidRPr="00FD044D">
              <w:t>Total</w:t>
            </w:r>
          </w:p>
        </w:tc>
        <w:tc>
          <w:tcPr>
            <w:tcW w:w="4621" w:type="dxa"/>
          </w:tcPr>
          <w:p w:rsidR="00FD044D" w:rsidRPr="00FD044D" w:rsidRDefault="00FD044D" w:rsidP="00FD044D">
            <w:pPr>
              <w:jc w:val="right"/>
            </w:pPr>
            <w:r w:rsidRPr="00FD044D">
              <w:t>65,990</w:t>
            </w:r>
          </w:p>
        </w:tc>
      </w:tr>
    </w:tbl>
    <w:p w:rsidR="00FD044D" w:rsidRPr="00FD044D" w:rsidRDefault="00FD044D" w:rsidP="00FD044D">
      <w:pPr>
        <w:ind w:left="720"/>
      </w:pPr>
    </w:p>
    <w:p w:rsidR="00FD044D" w:rsidRPr="00FD044D" w:rsidRDefault="00FD044D" w:rsidP="00FD044D">
      <w:pPr>
        <w:ind w:left="720"/>
      </w:pPr>
    </w:p>
    <w:p w:rsidR="00FD044D" w:rsidRDefault="00FD044D" w:rsidP="00FD044D">
      <w:pPr>
        <w:ind w:left="720"/>
        <w:rPr>
          <w:highlight w:val="yellow"/>
        </w:rPr>
      </w:pPr>
    </w:p>
    <w:sectPr w:rsidR="00FD044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BF" w:rsidRDefault="00AD5FBF" w:rsidP="00AE6CF1">
      <w:r>
        <w:separator/>
      </w:r>
    </w:p>
  </w:endnote>
  <w:endnote w:type="continuationSeparator" w:id="0">
    <w:p w:rsidR="00AD5FBF" w:rsidRDefault="00AD5FBF" w:rsidP="00A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89802"/>
      <w:docPartObj>
        <w:docPartGallery w:val="Page Numbers (Bottom of Page)"/>
        <w:docPartUnique/>
      </w:docPartObj>
    </w:sdtPr>
    <w:sdtEndPr>
      <w:rPr>
        <w:noProof/>
      </w:rPr>
    </w:sdtEndPr>
    <w:sdtContent>
      <w:p w:rsidR="006450B8" w:rsidRDefault="006450B8">
        <w:pPr>
          <w:pStyle w:val="Footer"/>
          <w:jc w:val="center"/>
        </w:pPr>
        <w:r>
          <w:fldChar w:fldCharType="begin"/>
        </w:r>
        <w:r>
          <w:instrText xml:space="preserve"> PAGE   \* MERGEFORMAT </w:instrText>
        </w:r>
        <w:r>
          <w:fldChar w:fldCharType="separate"/>
        </w:r>
        <w:r w:rsidR="00006D15">
          <w:rPr>
            <w:noProof/>
          </w:rPr>
          <w:t>21</w:t>
        </w:r>
        <w:r>
          <w:rPr>
            <w:noProof/>
          </w:rPr>
          <w:fldChar w:fldCharType="end"/>
        </w:r>
      </w:p>
    </w:sdtContent>
  </w:sdt>
  <w:p w:rsidR="006450B8" w:rsidRDefault="00645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BF" w:rsidRDefault="00AD5FBF" w:rsidP="00AE6CF1">
      <w:r>
        <w:separator/>
      </w:r>
    </w:p>
  </w:footnote>
  <w:footnote w:type="continuationSeparator" w:id="0">
    <w:p w:rsidR="00AD5FBF" w:rsidRDefault="00AD5FBF" w:rsidP="00AE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50"/>
    <w:multiLevelType w:val="hybridMultilevel"/>
    <w:tmpl w:val="583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75F9B"/>
    <w:multiLevelType w:val="hybridMultilevel"/>
    <w:tmpl w:val="0136D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FF1ADB"/>
    <w:multiLevelType w:val="hybridMultilevel"/>
    <w:tmpl w:val="EDF8E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381478"/>
    <w:multiLevelType w:val="hybridMultilevel"/>
    <w:tmpl w:val="D08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61BB2"/>
    <w:multiLevelType w:val="hybridMultilevel"/>
    <w:tmpl w:val="FC60A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9728AE"/>
    <w:multiLevelType w:val="hybridMultilevel"/>
    <w:tmpl w:val="F30A5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616C54"/>
    <w:multiLevelType w:val="hybridMultilevel"/>
    <w:tmpl w:val="31863B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48420C9"/>
    <w:multiLevelType w:val="hybridMultilevel"/>
    <w:tmpl w:val="D1E0F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BA6DBA"/>
    <w:multiLevelType w:val="hybridMultilevel"/>
    <w:tmpl w:val="EBFA74E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41D41"/>
    <w:multiLevelType w:val="hybridMultilevel"/>
    <w:tmpl w:val="5CD61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15572"/>
    <w:multiLevelType w:val="hybridMultilevel"/>
    <w:tmpl w:val="722C802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637120"/>
    <w:multiLevelType w:val="hybridMultilevel"/>
    <w:tmpl w:val="99200C8E"/>
    <w:lvl w:ilvl="0" w:tplc="08090001">
      <w:start w:val="1"/>
      <w:numFmt w:val="bullet"/>
      <w:lvlText w:val=""/>
      <w:lvlJc w:val="left"/>
      <w:pPr>
        <w:ind w:left="720" w:hanging="360"/>
      </w:pPr>
      <w:rPr>
        <w:rFonts w:ascii="Symbol" w:hAnsi="Symbol" w:hint="default"/>
      </w:rPr>
    </w:lvl>
    <w:lvl w:ilvl="1" w:tplc="9ED2626C">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14EB0"/>
    <w:multiLevelType w:val="hybridMultilevel"/>
    <w:tmpl w:val="FE546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0E259A2"/>
    <w:multiLevelType w:val="hybridMultilevel"/>
    <w:tmpl w:val="E640B1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4A24DB5"/>
    <w:multiLevelType w:val="multilevel"/>
    <w:tmpl w:val="B62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14F43"/>
    <w:multiLevelType w:val="hybridMultilevel"/>
    <w:tmpl w:val="0EE22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B01DC"/>
    <w:multiLevelType w:val="hybridMultilevel"/>
    <w:tmpl w:val="E146F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5E19C0"/>
    <w:multiLevelType w:val="hybridMultilevel"/>
    <w:tmpl w:val="24C28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6D4682"/>
    <w:multiLevelType w:val="hybridMultilevel"/>
    <w:tmpl w:val="A6940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05256A"/>
    <w:multiLevelType w:val="hybridMultilevel"/>
    <w:tmpl w:val="E5B8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C1D34"/>
    <w:multiLevelType w:val="hybridMultilevel"/>
    <w:tmpl w:val="2A904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495377"/>
    <w:multiLevelType w:val="hybridMultilevel"/>
    <w:tmpl w:val="0E3426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75093959"/>
    <w:multiLevelType w:val="multilevel"/>
    <w:tmpl w:val="7E060C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76683D93"/>
    <w:multiLevelType w:val="hybridMultilevel"/>
    <w:tmpl w:val="416E6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793D68A2"/>
    <w:multiLevelType w:val="hybridMultilevel"/>
    <w:tmpl w:val="BF30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ED3CD4"/>
    <w:multiLevelType w:val="hybridMultilevel"/>
    <w:tmpl w:val="795662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5E25AE"/>
    <w:multiLevelType w:val="hybridMultilevel"/>
    <w:tmpl w:val="8D6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7"/>
  </w:num>
  <w:num w:numId="4">
    <w:abstractNumId w:val="9"/>
  </w:num>
  <w:num w:numId="5">
    <w:abstractNumId w:val="21"/>
  </w:num>
  <w:num w:numId="6">
    <w:abstractNumId w:val="2"/>
  </w:num>
  <w:num w:numId="7">
    <w:abstractNumId w:val="12"/>
  </w:num>
  <w:num w:numId="8">
    <w:abstractNumId w:val="10"/>
  </w:num>
  <w:num w:numId="9">
    <w:abstractNumId w:val="6"/>
  </w:num>
  <w:num w:numId="10">
    <w:abstractNumId w:val="8"/>
  </w:num>
  <w:num w:numId="11">
    <w:abstractNumId w:val="3"/>
  </w:num>
  <w:num w:numId="12">
    <w:abstractNumId w:val="24"/>
  </w:num>
  <w:num w:numId="13">
    <w:abstractNumId w:val="23"/>
  </w:num>
  <w:num w:numId="14">
    <w:abstractNumId w:val="20"/>
  </w:num>
  <w:num w:numId="15">
    <w:abstractNumId w:val="5"/>
  </w:num>
  <w:num w:numId="16">
    <w:abstractNumId w:val="22"/>
  </w:num>
  <w:num w:numId="17">
    <w:abstractNumId w:val="15"/>
  </w:num>
  <w:num w:numId="18">
    <w:abstractNumId w:val="0"/>
  </w:num>
  <w:num w:numId="19">
    <w:abstractNumId w:val="18"/>
  </w:num>
  <w:num w:numId="20">
    <w:abstractNumId w:val="1"/>
  </w:num>
  <w:num w:numId="21">
    <w:abstractNumId w:val="19"/>
  </w:num>
  <w:num w:numId="22">
    <w:abstractNumId w:val="14"/>
  </w:num>
  <w:num w:numId="23">
    <w:abstractNumId w:val="13"/>
  </w:num>
  <w:num w:numId="24">
    <w:abstractNumId w:val="11"/>
  </w:num>
  <w:num w:numId="25">
    <w:abstractNumId w:val="26"/>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8"/>
    <w:rsid w:val="00004F0E"/>
    <w:rsid w:val="00006D15"/>
    <w:rsid w:val="00026272"/>
    <w:rsid w:val="00030205"/>
    <w:rsid w:val="000377CD"/>
    <w:rsid w:val="00041CA2"/>
    <w:rsid w:val="00045943"/>
    <w:rsid w:val="0005447D"/>
    <w:rsid w:val="00055DC3"/>
    <w:rsid w:val="00060F0A"/>
    <w:rsid w:val="00077FD4"/>
    <w:rsid w:val="000811B0"/>
    <w:rsid w:val="000926E9"/>
    <w:rsid w:val="00095C0C"/>
    <w:rsid w:val="000A1CF9"/>
    <w:rsid w:val="000A4D2D"/>
    <w:rsid w:val="000B41DC"/>
    <w:rsid w:val="000B4310"/>
    <w:rsid w:val="000D0210"/>
    <w:rsid w:val="000F113B"/>
    <w:rsid w:val="00103B13"/>
    <w:rsid w:val="00111E7F"/>
    <w:rsid w:val="00115A64"/>
    <w:rsid w:val="0015689E"/>
    <w:rsid w:val="001577C4"/>
    <w:rsid w:val="001629C4"/>
    <w:rsid w:val="00162EB3"/>
    <w:rsid w:val="00163EBB"/>
    <w:rsid w:val="00163F96"/>
    <w:rsid w:val="00167FDA"/>
    <w:rsid w:val="00185975"/>
    <w:rsid w:val="00187676"/>
    <w:rsid w:val="00193251"/>
    <w:rsid w:val="001A225B"/>
    <w:rsid w:val="001A5176"/>
    <w:rsid w:val="001C3788"/>
    <w:rsid w:val="001D30CB"/>
    <w:rsid w:val="001D6423"/>
    <w:rsid w:val="001E4E5F"/>
    <w:rsid w:val="001E74F9"/>
    <w:rsid w:val="00203DEC"/>
    <w:rsid w:val="0020494C"/>
    <w:rsid w:val="00205FDC"/>
    <w:rsid w:val="0021187D"/>
    <w:rsid w:val="00215080"/>
    <w:rsid w:val="002169FF"/>
    <w:rsid w:val="0023434A"/>
    <w:rsid w:val="00236E06"/>
    <w:rsid w:val="002374D5"/>
    <w:rsid w:val="002408A2"/>
    <w:rsid w:val="00243DEF"/>
    <w:rsid w:val="00256CDF"/>
    <w:rsid w:val="00257D66"/>
    <w:rsid w:val="00263212"/>
    <w:rsid w:val="00270A6E"/>
    <w:rsid w:val="002749AF"/>
    <w:rsid w:val="0028625B"/>
    <w:rsid w:val="00290CD7"/>
    <w:rsid w:val="00291F9D"/>
    <w:rsid w:val="002A1511"/>
    <w:rsid w:val="002A69E6"/>
    <w:rsid w:val="002B638D"/>
    <w:rsid w:val="002C09C1"/>
    <w:rsid w:val="002C15F1"/>
    <w:rsid w:val="002C3BC9"/>
    <w:rsid w:val="002D4582"/>
    <w:rsid w:val="002E78CD"/>
    <w:rsid w:val="002F634F"/>
    <w:rsid w:val="002F782D"/>
    <w:rsid w:val="00302150"/>
    <w:rsid w:val="003122A9"/>
    <w:rsid w:val="00315545"/>
    <w:rsid w:val="00330E70"/>
    <w:rsid w:val="00340D1E"/>
    <w:rsid w:val="00344E78"/>
    <w:rsid w:val="00373F9A"/>
    <w:rsid w:val="00375D8E"/>
    <w:rsid w:val="00376B69"/>
    <w:rsid w:val="00380E5B"/>
    <w:rsid w:val="0038661E"/>
    <w:rsid w:val="003A194D"/>
    <w:rsid w:val="003A54E0"/>
    <w:rsid w:val="003C0FAC"/>
    <w:rsid w:val="003D7C42"/>
    <w:rsid w:val="003F0FD4"/>
    <w:rsid w:val="003F51F1"/>
    <w:rsid w:val="003F7EDF"/>
    <w:rsid w:val="004000D7"/>
    <w:rsid w:val="0040281F"/>
    <w:rsid w:val="00404F07"/>
    <w:rsid w:val="00407EE6"/>
    <w:rsid w:val="004104C3"/>
    <w:rsid w:val="004269F4"/>
    <w:rsid w:val="0044333F"/>
    <w:rsid w:val="004465C6"/>
    <w:rsid w:val="0045302D"/>
    <w:rsid w:val="00453560"/>
    <w:rsid w:val="00455959"/>
    <w:rsid w:val="00457F89"/>
    <w:rsid w:val="00482B43"/>
    <w:rsid w:val="004834FA"/>
    <w:rsid w:val="00493D06"/>
    <w:rsid w:val="004A1159"/>
    <w:rsid w:val="004A115F"/>
    <w:rsid w:val="004A3094"/>
    <w:rsid w:val="004B5044"/>
    <w:rsid w:val="004B6F12"/>
    <w:rsid w:val="004C3885"/>
    <w:rsid w:val="004D0124"/>
    <w:rsid w:val="004D4926"/>
    <w:rsid w:val="004D544D"/>
    <w:rsid w:val="004D5DD8"/>
    <w:rsid w:val="004D664A"/>
    <w:rsid w:val="004F441F"/>
    <w:rsid w:val="00504E43"/>
    <w:rsid w:val="00510193"/>
    <w:rsid w:val="005104DF"/>
    <w:rsid w:val="00513B82"/>
    <w:rsid w:val="0052050E"/>
    <w:rsid w:val="00530524"/>
    <w:rsid w:val="0053517E"/>
    <w:rsid w:val="005359FF"/>
    <w:rsid w:val="0055327E"/>
    <w:rsid w:val="00557C24"/>
    <w:rsid w:val="00564AEE"/>
    <w:rsid w:val="005719BA"/>
    <w:rsid w:val="005806B1"/>
    <w:rsid w:val="005813E5"/>
    <w:rsid w:val="00582293"/>
    <w:rsid w:val="00582EB1"/>
    <w:rsid w:val="0058753F"/>
    <w:rsid w:val="005953AC"/>
    <w:rsid w:val="00597E6B"/>
    <w:rsid w:val="005A1923"/>
    <w:rsid w:val="005A5C00"/>
    <w:rsid w:val="005B1D31"/>
    <w:rsid w:val="005B63A3"/>
    <w:rsid w:val="005B68AC"/>
    <w:rsid w:val="005C0C72"/>
    <w:rsid w:val="005C28FB"/>
    <w:rsid w:val="005C3900"/>
    <w:rsid w:val="005C54A1"/>
    <w:rsid w:val="005D4B84"/>
    <w:rsid w:val="005D54E5"/>
    <w:rsid w:val="005E12AD"/>
    <w:rsid w:val="005E4BC6"/>
    <w:rsid w:val="005F17BF"/>
    <w:rsid w:val="00600540"/>
    <w:rsid w:val="00613DBB"/>
    <w:rsid w:val="00621396"/>
    <w:rsid w:val="006450B8"/>
    <w:rsid w:val="006472A3"/>
    <w:rsid w:val="0064755B"/>
    <w:rsid w:val="00661343"/>
    <w:rsid w:val="00666727"/>
    <w:rsid w:val="0067713D"/>
    <w:rsid w:val="00682284"/>
    <w:rsid w:val="00695B2B"/>
    <w:rsid w:val="00696AEC"/>
    <w:rsid w:val="006A2789"/>
    <w:rsid w:val="006B4900"/>
    <w:rsid w:val="006C13C3"/>
    <w:rsid w:val="006C3B43"/>
    <w:rsid w:val="006D07A8"/>
    <w:rsid w:val="006D33D4"/>
    <w:rsid w:val="006D48EC"/>
    <w:rsid w:val="006D5102"/>
    <w:rsid w:val="006E2152"/>
    <w:rsid w:val="006F0726"/>
    <w:rsid w:val="0070292D"/>
    <w:rsid w:val="007160E7"/>
    <w:rsid w:val="00723D44"/>
    <w:rsid w:val="00726795"/>
    <w:rsid w:val="00741835"/>
    <w:rsid w:val="007453F9"/>
    <w:rsid w:val="00750562"/>
    <w:rsid w:val="00761940"/>
    <w:rsid w:val="0077345C"/>
    <w:rsid w:val="0078356B"/>
    <w:rsid w:val="00784FCD"/>
    <w:rsid w:val="007908F4"/>
    <w:rsid w:val="00795268"/>
    <w:rsid w:val="007952F3"/>
    <w:rsid w:val="007962C8"/>
    <w:rsid w:val="007B455C"/>
    <w:rsid w:val="007B4E18"/>
    <w:rsid w:val="007B783D"/>
    <w:rsid w:val="008055E8"/>
    <w:rsid w:val="0081023C"/>
    <w:rsid w:val="00816C9F"/>
    <w:rsid w:val="00830638"/>
    <w:rsid w:val="00856383"/>
    <w:rsid w:val="00866D65"/>
    <w:rsid w:val="00867347"/>
    <w:rsid w:val="00867DC5"/>
    <w:rsid w:val="00875DE3"/>
    <w:rsid w:val="008902F3"/>
    <w:rsid w:val="008A22C6"/>
    <w:rsid w:val="008A560C"/>
    <w:rsid w:val="008A59DD"/>
    <w:rsid w:val="008C2216"/>
    <w:rsid w:val="008C2901"/>
    <w:rsid w:val="008D0FF1"/>
    <w:rsid w:val="008D1D79"/>
    <w:rsid w:val="008E0FB9"/>
    <w:rsid w:val="008E3F37"/>
    <w:rsid w:val="008F6702"/>
    <w:rsid w:val="008F7F31"/>
    <w:rsid w:val="00902DDA"/>
    <w:rsid w:val="00912998"/>
    <w:rsid w:val="009456CF"/>
    <w:rsid w:val="00952426"/>
    <w:rsid w:val="0096290D"/>
    <w:rsid w:val="00966207"/>
    <w:rsid w:val="009761C3"/>
    <w:rsid w:val="009A1E54"/>
    <w:rsid w:val="009A32DF"/>
    <w:rsid w:val="009A5748"/>
    <w:rsid w:val="009A66CD"/>
    <w:rsid w:val="009B2809"/>
    <w:rsid w:val="009C546D"/>
    <w:rsid w:val="009C7EA5"/>
    <w:rsid w:val="009D0DE7"/>
    <w:rsid w:val="009D6A21"/>
    <w:rsid w:val="009E589D"/>
    <w:rsid w:val="009E63F5"/>
    <w:rsid w:val="009E68D0"/>
    <w:rsid w:val="009E6B8F"/>
    <w:rsid w:val="00A05559"/>
    <w:rsid w:val="00A24BE9"/>
    <w:rsid w:val="00A26786"/>
    <w:rsid w:val="00A37A68"/>
    <w:rsid w:val="00A41B9A"/>
    <w:rsid w:val="00A41ED3"/>
    <w:rsid w:val="00A42A57"/>
    <w:rsid w:val="00A4777C"/>
    <w:rsid w:val="00A50C62"/>
    <w:rsid w:val="00A53C7C"/>
    <w:rsid w:val="00A76E59"/>
    <w:rsid w:val="00A97E8B"/>
    <w:rsid w:val="00AB0FD1"/>
    <w:rsid w:val="00AC00EE"/>
    <w:rsid w:val="00AC1235"/>
    <w:rsid w:val="00AC38AC"/>
    <w:rsid w:val="00AC6B0F"/>
    <w:rsid w:val="00AC722C"/>
    <w:rsid w:val="00AD5FA0"/>
    <w:rsid w:val="00AD5FBF"/>
    <w:rsid w:val="00AE1169"/>
    <w:rsid w:val="00AE1C6E"/>
    <w:rsid w:val="00AE42D3"/>
    <w:rsid w:val="00AE6CF1"/>
    <w:rsid w:val="00AF68DD"/>
    <w:rsid w:val="00B00404"/>
    <w:rsid w:val="00B06A1D"/>
    <w:rsid w:val="00B219BE"/>
    <w:rsid w:val="00B21BAF"/>
    <w:rsid w:val="00B53D9C"/>
    <w:rsid w:val="00B6360A"/>
    <w:rsid w:val="00B63B1C"/>
    <w:rsid w:val="00B759AE"/>
    <w:rsid w:val="00B922E4"/>
    <w:rsid w:val="00BA11E2"/>
    <w:rsid w:val="00BA4609"/>
    <w:rsid w:val="00BB1D91"/>
    <w:rsid w:val="00BB349F"/>
    <w:rsid w:val="00BD2AF7"/>
    <w:rsid w:val="00BD609B"/>
    <w:rsid w:val="00BE10FB"/>
    <w:rsid w:val="00BE2401"/>
    <w:rsid w:val="00C05DA5"/>
    <w:rsid w:val="00C06858"/>
    <w:rsid w:val="00C07F80"/>
    <w:rsid w:val="00C21888"/>
    <w:rsid w:val="00C21B6E"/>
    <w:rsid w:val="00C23C5D"/>
    <w:rsid w:val="00C24778"/>
    <w:rsid w:val="00C313F1"/>
    <w:rsid w:val="00C71ABA"/>
    <w:rsid w:val="00C74869"/>
    <w:rsid w:val="00C8043E"/>
    <w:rsid w:val="00C86F99"/>
    <w:rsid w:val="00C95502"/>
    <w:rsid w:val="00CB6E89"/>
    <w:rsid w:val="00CD1963"/>
    <w:rsid w:val="00CE0413"/>
    <w:rsid w:val="00CE661D"/>
    <w:rsid w:val="00D009D3"/>
    <w:rsid w:val="00D16F06"/>
    <w:rsid w:val="00D1704C"/>
    <w:rsid w:val="00D205F5"/>
    <w:rsid w:val="00D353DF"/>
    <w:rsid w:val="00D410E6"/>
    <w:rsid w:val="00D44FB4"/>
    <w:rsid w:val="00D50672"/>
    <w:rsid w:val="00D5360F"/>
    <w:rsid w:val="00D633AF"/>
    <w:rsid w:val="00D66FB5"/>
    <w:rsid w:val="00D73928"/>
    <w:rsid w:val="00D800D6"/>
    <w:rsid w:val="00D972E0"/>
    <w:rsid w:val="00DA5C05"/>
    <w:rsid w:val="00DB50DC"/>
    <w:rsid w:val="00DC651B"/>
    <w:rsid w:val="00DD3187"/>
    <w:rsid w:val="00DD4244"/>
    <w:rsid w:val="00DE454A"/>
    <w:rsid w:val="00DF29C9"/>
    <w:rsid w:val="00E00B7F"/>
    <w:rsid w:val="00E07377"/>
    <w:rsid w:val="00E30C3D"/>
    <w:rsid w:val="00E40C82"/>
    <w:rsid w:val="00E421B9"/>
    <w:rsid w:val="00E517D2"/>
    <w:rsid w:val="00E51A7A"/>
    <w:rsid w:val="00E5242E"/>
    <w:rsid w:val="00E55041"/>
    <w:rsid w:val="00E645E1"/>
    <w:rsid w:val="00E753CD"/>
    <w:rsid w:val="00E75576"/>
    <w:rsid w:val="00E803DA"/>
    <w:rsid w:val="00E8665F"/>
    <w:rsid w:val="00E928FA"/>
    <w:rsid w:val="00EA1963"/>
    <w:rsid w:val="00EB1FEC"/>
    <w:rsid w:val="00EB7D75"/>
    <w:rsid w:val="00ED1443"/>
    <w:rsid w:val="00EE6443"/>
    <w:rsid w:val="00EE7667"/>
    <w:rsid w:val="00F0192C"/>
    <w:rsid w:val="00F05D04"/>
    <w:rsid w:val="00F10AFE"/>
    <w:rsid w:val="00F20D68"/>
    <w:rsid w:val="00F266AC"/>
    <w:rsid w:val="00F4140E"/>
    <w:rsid w:val="00F4319D"/>
    <w:rsid w:val="00F435C7"/>
    <w:rsid w:val="00F50E3B"/>
    <w:rsid w:val="00F54B10"/>
    <w:rsid w:val="00F561EC"/>
    <w:rsid w:val="00F56D9F"/>
    <w:rsid w:val="00F578FA"/>
    <w:rsid w:val="00F62D10"/>
    <w:rsid w:val="00F71D35"/>
    <w:rsid w:val="00F751BC"/>
    <w:rsid w:val="00F755F8"/>
    <w:rsid w:val="00F76373"/>
    <w:rsid w:val="00F83A02"/>
    <w:rsid w:val="00F966B6"/>
    <w:rsid w:val="00FB13BA"/>
    <w:rsid w:val="00FB35D3"/>
    <w:rsid w:val="00FB569A"/>
    <w:rsid w:val="00FC5A76"/>
    <w:rsid w:val="00FD044D"/>
    <w:rsid w:val="00FD3A85"/>
    <w:rsid w:val="00FD4C39"/>
    <w:rsid w:val="00FD4F85"/>
    <w:rsid w:val="00FE21C4"/>
    <w:rsid w:val="00FE6CDC"/>
    <w:rsid w:val="00FE7128"/>
    <w:rsid w:val="00FF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9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5B"/>
    <w:rPr>
      <w:rFonts w:ascii="Tahoma" w:hAnsi="Tahoma" w:cs="Tahoma"/>
      <w:sz w:val="16"/>
      <w:szCs w:val="16"/>
    </w:rPr>
  </w:style>
  <w:style w:type="character" w:customStyle="1" w:styleId="BalloonTextChar">
    <w:name w:val="Balloon Text Char"/>
    <w:basedOn w:val="DefaultParagraphFont"/>
    <w:link w:val="BalloonText"/>
    <w:uiPriority w:val="99"/>
    <w:semiHidden/>
    <w:rsid w:val="00380E5B"/>
    <w:rPr>
      <w:rFonts w:ascii="Tahoma" w:hAnsi="Tahoma" w:cs="Tahoma"/>
      <w:sz w:val="16"/>
      <w:szCs w:val="16"/>
    </w:rPr>
  </w:style>
  <w:style w:type="character" w:customStyle="1" w:styleId="mfirst-letter">
    <w:name w:val="m_first-letter"/>
    <w:basedOn w:val="DefaultParagraphFont"/>
    <w:rsid w:val="004D0124"/>
  </w:style>
  <w:style w:type="paragraph" w:styleId="ListParagraph">
    <w:name w:val="List Paragraph"/>
    <w:basedOn w:val="Normal"/>
    <w:uiPriority w:val="34"/>
    <w:qFormat/>
    <w:rsid w:val="00115A64"/>
    <w:pPr>
      <w:ind w:left="720"/>
      <w:contextualSpacing/>
    </w:pPr>
  </w:style>
  <w:style w:type="character" w:styleId="CommentReference">
    <w:name w:val="annotation reference"/>
    <w:basedOn w:val="DefaultParagraphFont"/>
    <w:uiPriority w:val="99"/>
    <w:semiHidden/>
    <w:unhideWhenUsed/>
    <w:rsid w:val="00DE454A"/>
    <w:rPr>
      <w:sz w:val="16"/>
      <w:szCs w:val="16"/>
    </w:rPr>
  </w:style>
  <w:style w:type="paragraph" w:styleId="CommentText">
    <w:name w:val="annotation text"/>
    <w:basedOn w:val="Normal"/>
    <w:link w:val="CommentTextChar"/>
    <w:uiPriority w:val="99"/>
    <w:semiHidden/>
    <w:unhideWhenUsed/>
    <w:rsid w:val="00DE454A"/>
    <w:rPr>
      <w:sz w:val="20"/>
      <w:szCs w:val="20"/>
    </w:rPr>
  </w:style>
  <w:style w:type="character" w:customStyle="1" w:styleId="CommentTextChar">
    <w:name w:val="Comment Text Char"/>
    <w:basedOn w:val="DefaultParagraphFont"/>
    <w:link w:val="CommentText"/>
    <w:uiPriority w:val="99"/>
    <w:semiHidden/>
    <w:rsid w:val="00DE454A"/>
    <w:rPr>
      <w:sz w:val="20"/>
      <w:szCs w:val="20"/>
    </w:rPr>
  </w:style>
  <w:style w:type="paragraph" w:styleId="CommentSubject">
    <w:name w:val="annotation subject"/>
    <w:basedOn w:val="CommentText"/>
    <w:next w:val="CommentText"/>
    <w:link w:val="CommentSubjectChar"/>
    <w:uiPriority w:val="99"/>
    <w:semiHidden/>
    <w:unhideWhenUsed/>
    <w:rsid w:val="00DE454A"/>
    <w:rPr>
      <w:b/>
      <w:bCs/>
    </w:rPr>
  </w:style>
  <w:style w:type="character" w:customStyle="1" w:styleId="CommentSubjectChar">
    <w:name w:val="Comment Subject Char"/>
    <w:basedOn w:val="CommentTextChar"/>
    <w:link w:val="CommentSubject"/>
    <w:uiPriority w:val="99"/>
    <w:semiHidden/>
    <w:rsid w:val="00DE454A"/>
    <w:rPr>
      <w:b/>
      <w:bCs/>
      <w:sz w:val="20"/>
      <w:szCs w:val="20"/>
    </w:rPr>
  </w:style>
  <w:style w:type="table" w:styleId="TableGrid">
    <w:name w:val="Table Grid"/>
    <w:basedOn w:val="TableNormal"/>
    <w:uiPriority w:val="59"/>
    <w:rsid w:val="00A3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356B"/>
    <w:pPr>
      <w:autoSpaceDE w:val="0"/>
      <w:autoSpaceDN w:val="0"/>
    </w:pPr>
    <w:rPr>
      <w:color w:val="000000"/>
    </w:rPr>
  </w:style>
  <w:style w:type="paragraph" w:styleId="Header">
    <w:name w:val="header"/>
    <w:basedOn w:val="Normal"/>
    <w:link w:val="HeaderChar"/>
    <w:uiPriority w:val="99"/>
    <w:unhideWhenUsed/>
    <w:rsid w:val="00AE6CF1"/>
    <w:pPr>
      <w:tabs>
        <w:tab w:val="center" w:pos="4513"/>
        <w:tab w:val="right" w:pos="9026"/>
      </w:tabs>
    </w:pPr>
  </w:style>
  <w:style w:type="character" w:customStyle="1" w:styleId="HeaderChar">
    <w:name w:val="Header Char"/>
    <w:basedOn w:val="DefaultParagraphFont"/>
    <w:link w:val="Header"/>
    <w:uiPriority w:val="99"/>
    <w:rsid w:val="00AE6CF1"/>
  </w:style>
  <w:style w:type="paragraph" w:styleId="Footer">
    <w:name w:val="footer"/>
    <w:basedOn w:val="Normal"/>
    <w:link w:val="FooterChar"/>
    <w:uiPriority w:val="99"/>
    <w:unhideWhenUsed/>
    <w:rsid w:val="00AE6CF1"/>
    <w:pPr>
      <w:tabs>
        <w:tab w:val="center" w:pos="4513"/>
        <w:tab w:val="right" w:pos="9026"/>
      </w:tabs>
    </w:pPr>
  </w:style>
  <w:style w:type="character" w:customStyle="1" w:styleId="FooterChar">
    <w:name w:val="Footer Char"/>
    <w:basedOn w:val="DefaultParagraphFont"/>
    <w:link w:val="Footer"/>
    <w:uiPriority w:val="99"/>
    <w:rsid w:val="00AE6CF1"/>
  </w:style>
  <w:style w:type="paragraph" w:styleId="NoSpacing">
    <w:name w:val="No Spacing"/>
    <w:uiPriority w:val="1"/>
    <w:qFormat/>
    <w:rsid w:val="00302150"/>
  </w:style>
  <w:style w:type="paragraph" w:styleId="NormalWeb">
    <w:name w:val="Normal (Web)"/>
    <w:basedOn w:val="Normal"/>
    <w:uiPriority w:val="99"/>
    <w:semiHidden/>
    <w:unhideWhenUsed/>
    <w:rsid w:val="00FE21C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21C4"/>
    <w:rPr>
      <w:color w:val="0000FF"/>
      <w:u w:val="single"/>
    </w:rPr>
  </w:style>
  <w:style w:type="character" w:customStyle="1" w:styleId="Heading2Char">
    <w:name w:val="Heading 2 Char"/>
    <w:basedOn w:val="DefaultParagraphFont"/>
    <w:link w:val="Heading2"/>
    <w:uiPriority w:val="9"/>
    <w:rsid w:val="00D800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589D"/>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9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6A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9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5B"/>
    <w:rPr>
      <w:rFonts w:ascii="Tahoma" w:hAnsi="Tahoma" w:cs="Tahoma"/>
      <w:sz w:val="16"/>
      <w:szCs w:val="16"/>
    </w:rPr>
  </w:style>
  <w:style w:type="character" w:customStyle="1" w:styleId="BalloonTextChar">
    <w:name w:val="Balloon Text Char"/>
    <w:basedOn w:val="DefaultParagraphFont"/>
    <w:link w:val="BalloonText"/>
    <w:uiPriority w:val="99"/>
    <w:semiHidden/>
    <w:rsid w:val="00380E5B"/>
    <w:rPr>
      <w:rFonts w:ascii="Tahoma" w:hAnsi="Tahoma" w:cs="Tahoma"/>
      <w:sz w:val="16"/>
      <w:szCs w:val="16"/>
    </w:rPr>
  </w:style>
  <w:style w:type="character" w:customStyle="1" w:styleId="mfirst-letter">
    <w:name w:val="m_first-letter"/>
    <w:basedOn w:val="DefaultParagraphFont"/>
    <w:rsid w:val="004D0124"/>
  </w:style>
  <w:style w:type="paragraph" w:styleId="ListParagraph">
    <w:name w:val="List Paragraph"/>
    <w:basedOn w:val="Normal"/>
    <w:uiPriority w:val="34"/>
    <w:qFormat/>
    <w:rsid w:val="00115A64"/>
    <w:pPr>
      <w:ind w:left="720"/>
      <w:contextualSpacing/>
    </w:pPr>
  </w:style>
  <w:style w:type="character" w:styleId="CommentReference">
    <w:name w:val="annotation reference"/>
    <w:basedOn w:val="DefaultParagraphFont"/>
    <w:uiPriority w:val="99"/>
    <w:semiHidden/>
    <w:unhideWhenUsed/>
    <w:rsid w:val="00DE454A"/>
    <w:rPr>
      <w:sz w:val="16"/>
      <w:szCs w:val="16"/>
    </w:rPr>
  </w:style>
  <w:style w:type="paragraph" w:styleId="CommentText">
    <w:name w:val="annotation text"/>
    <w:basedOn w:val="Normal"/>
    <w:link w:val="CommentTextChar"/>
    <w:uiPriority w:val="99"/>
    <w:semiHidden/>
    <w:unhideWhenUsed/>
    <w:rsid w:val="00DE454A"/>
    <w:rPr>
      <w:sz w:val="20"/>
      <w:szCs w:val="20"/>
    </w:rPr>
  </w:style>
  <w:style w:type="character" w:customStyle="1" w:styleId="CommentTextChar">
    <w:name w:val="Comment Text Char"/>
    <w:basedOn w:val="DefaultParagraphFont"/>
    <w:link w:val="CommentText"/>
    <w:uiPriority w:val="99"/>
    <w:semiHidden/>
    <w:rsid w:val="00DE454A"/>
    <w:rPr>
      <w:sz w:val="20"/>
      <w:szCs w:val="20"/>
    </w:rPr>
  </w:style>
  <w:style w:type="paragraph" w:styleId="CommentSubject">
    <w:name w:val="annotation subject"/>
    <w:basedOn w:val="CommentText"/>
    <w:next w:val="CommentText"/>
    <w:link w:val="CommentSubjectChar"/>
    <w:uiPriority w:val="99"/>
    <w:semiHidden/>
    <w:unhideWhenUsed/>
    <w:rsid w:val="00DE454A"/>
    <w:rPr>
      <w:b/>
      <w:bCs/>
    </w:rPr>
  </w:style>
  <w:style w:type="character" w:customStyle="1" w:styleId="CommentSubjectChar">
    <w:name w:val="Comment Subject Char"/>
    <w:basedOn w:val="CommentTextChar"/>
    <w:link w:val="CommentSubject"/>
    <w:uiPriority w:val="99"/>
    <w:semiHidden/>
    <w:rsid w:val="00DE454A"/>
    <w:rPr>
      <w:b/>
      <w:bCs/>
      <w:sz w:val="20"/>
      <w:szCs w:val="20"/>
    </w:rPr>
  </w:style>
  <w:style w:type="table" w:styleId="TableGrid">
    <w:name w:val="Table Grid"/>
    <w:basedOn w:val="TableNormal"/>
    <w:uiPriority w:val="59"/>
    <w:rsid w:val="00A3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356B"/>
    <w:pPr>
      <w:autoSpaceDE w:val="0"/>
      <w:autoSpaceDN w:val="0"/>
    </w:pPr>
    <w:rPr>
      <w:color w:val="000000"/>
    </w:rPr>
  </w:style>
  <w:style w:type="paragraph" w:styleId="Header">
    <w:name w:val="header"/>
    <w:basedOn w:val="Normal"/>
    <w:link w:val="HeaderChar"/>
    <w:uiPriority w:val="99"/>
    <w:unhideWhenUsed/>
    <w:rsid w:val="00AE6CF1"/>
    <w:pPr>
      <w:tabs>
        <w:tab w:val="center" w:pos="4513"/>
        <w:tab w:val="right" w:pos="9026"/>
      </w:tabs>
    </w:pPr>
  </w:style>
  <w:style w:type="character" w:customStyle="1" w:styleId="HeaderChar">
    <w:name w:val="Header Char"/>
    <w:basedOn w:val="DefaultParagraphFont"/>
    <w:link w:val="Header"/>
    <w:uiPriority w:val="99"/>
    <w:rsid w:val="00AE6CF1"/>
  </w:style>
  <w:style w:type="paragraph" w:styleId="Footer">
    <w:name w:val="footer"/>
    <w:basedOn w:val="Normal"/>
    <w:link w:val="FooterChar"/>
    <w:uiPriority w:val="99"/>
    <w:unhideWhenUsed/>
    <w:rsid w:val="00AE6CF1"/>
    <w:pPr>
      <w:tabs>
        <w:tab w:val="center" w:pos="4513"/>
        <w:tab w:val="right" w:pos="9026"/>
      </w:tabs>
    </w:pPr>
  </w:style>
  <w:style w:type="character" w:customStyle="1" w:styleId="FooterChar">
    <w:name w:val="Footer Char"/>
    <w:basedOn w:val="DefaultParagraphFont"/>
    <w:link w:val="Footer"/>
    <w:uiPriority w:val="99"/>
    <w:rsid w:val="00AE6CF1"/>
  </w:style>
  <w:style w:type="paragraph" w:styleId="NoSpacing">
    <w:name w:val="No Spacing"/>
    <w:uiPriority w:val="1"/>
    <w:qFormat/>
    <w:rsid w:val="00302150"/>
  </w:style>
  <w:style w:type="paragraph" w:styleId="NormalWeb">
    <w:name w:val="Normal (Web)"/>
    <w:basedOn w:val="Normal"/>
    <w:uiPriority w:val="99"/>
    <w:semiHidden/>
    <w:unhideWhenUsed/>
    <w:rsid w:val="00FE21C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21C4"/>
    <w:rPr>
      <w:color w:val="0000FF"/>
      <w:u w:val="single"/>
    </w:rPr>
  </w:style>
  <w:style w:type="character" w:customStyle="1" w:styleId="Heading2Char">
    <w:name w:val="Heading 2 Char"/>
    <w:basedOn w:val="DefaultParagraphFont"/>
    <w:link w:val="Heading2"/>
    <w:uiPriority w:val="9"/>
    <w:rsid w:val="00D800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589D"/>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9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6A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41">
      <w:bodyDiv w:val="1"/>
      <w:marLeft w:val="0"/>
      <w:marRight w:val="0"/>
      <w:marTop w:val="0"/>
      <w:marBottom w:val="0"/>
      <w:divBdr>
        <w:top w:val="none" w:sz="0" w:space="0" w:color="auto"/>
        <w:left w:val="none" w:sz="0" w:space="0" w:color="auto"/>
        <w:bottom w:val="none" w:sz="0" w:space="0" w:color="auto"/>
        <w:right w:val="none" w:sz="0" w:space="0" w:color="auto"/>
      </w:divBdr>
    </w:div>
    <w:div w:id="15427796">
      <w:bodyDiv w:val="1"/>
      <w:marLeft w:val="0"/>
      <w:marRight w:val="0"/>
      <w:marTop w:val="0"/>
      <w:marBottom w:val="0"/>
      <w:divBdr>
        <w:top w:val="none" w:sz="0" w:space="0" w:color="auto"/>
        <w:left w:val="none" w:sz="0" w:space="0" w:color="auto"/>
        <w:bottom w:val="none" w:sz="0" w:space="0" w:color="auto"/>
        <w:right w:val="none" w:sz="0" w:space="0" w:color="auto"/>
      </w:divBdr>
    </w:div>
    <w:div w:id="88085037">
      <w:bodyDiv w:val="1"/>
      <w:marLeft w:val="0"/>
      <w:marRight w:val="0"/>
      <w:marTop w:val="0"/>
      <w:marBottom w:val="0"/>
      <w:divBdr>
        <w:top w:val="none" w:sz="0" w:space="0" w:color="auto"/>
        <w:left w:val="none" w:sz="0" w:space="0" w:color="auto"/>
        <w:bottom w:val="none" w:sz="0" w:space="0" w:color="auto"/>
        <w:right w:val="none" w:sz="0" w:space="0" w:color="auto"/>
      </w:divBdr>
      <w:divsChild>
        <w:div w:id="1143545428">
          <w:marLeft w:val="0"/>
          <w:marRight w:val="0"/>
          <w:marTop w:val="0"/>
          <w:marBottom w:val="0"/>
          <w:divBdr>
            <w:top w:val="none" w:sz="0" w:space="0" w:color="auto"/>
            <w:left w:val="none" w:sz="0" w:space="0" w:color="auto"/>
            <w:bottom w:val="none" w:sz="0" w:space="0" w:color="auto"/>
            <w:right w:val="none" w:sz="0" w:space="0" w:color="auto"/>
          </w:divBdr>
          <w:divsChild>
            <w:div w:id="244926527">
              <w:marLeft w:val="0"/>
              <w:marRight w:val="0"/>
              <w:marTop w:val="0"/>
              <w:marBottom w:val="0"/>
              <w:divBdr>
                <w:top w:val="none" w:sz="0" w:space="0" w:color="auto"/>
                <w:left w:val="none" w:sz="0" w:space="0" w:color="auto"/>
                <w:bottom w:val="none" w:sz="0" w:space="0" w:color="auto"/>
                <w:right w:val="none" w:sz="0" w:space="0" w:color="auto"/>
              </w:divBdr>
              <w:divsChild>
                <w:div w:id="1208299667">
                  <w:marLeft w:val="0"/>
                  <w:marRight w:val="0"/>
                  <w:marTop w:val="0"/>
                  <w:marBottom w:val="0"/>
                  <w:divBdr>
                    <w:top w:val="none" w:sz="0" w:space="0" w:color="auto"/>
                    <w:left w:val="none" w:sz="0" w:space="0" w:color="auto"/>
                    <w:bottom w:val="none" w:sz="0" w:space="0" w:color="auto"/>
                    <w:right w:val="none" w:sz="0" w:space="0" w:color="auto"/>
                  </w:divBdr>
                  <w:divsChild>
                    <w:div w:id="2002125192">
                      <w:marLeft w:val="0"/>
                      <w:marRight w:val="0"/>
                      <w:marTop w:val="0"/>
                      <w:marBottom w:val="0"/>
                      <w:divBdr>
                        <w:top w:val="none" w:sz="0" w:space="0" w:color="auto"/>
                        <w:left w:val="none" w:sz="0" w:space="0" w:color="auto"/>
                        <w:bottom w:val="none" w:sz="0" w:space="0" w:color="auto"/>
                        <w:right w:val="none" w:sz="0" w:space="0" w:color="auto"/>
                      </w:divBdr>
                      <w:divsChild>
                        <w:div w:id="2036805245">
                          <w:marLeft w:val="0"/>
                          <w:marRight w:val="0"/>
                          <w:marTop w:val="0"/>
                          <w:marBottom w:val="0"/>
                          <w:divBdr>
                            <w:top w:val="none" w:sz="0" w:space="0" w:color="auto"/>
                            <w:left w:val="none" w:sz="0" w:space="0" w:color="auto"/>
                            <w:bottom w:val="none" w:sz="0" w:space="0" w:color="auto"/>
                            <w:right w:val="none" w:sz="0" w:space="0" w:color="auto"/>
                          </w:divBdr>
                          <w:divsChild>
                            <w:div w:id="762799761">
                              <w:marLeft w:val="0"/>
                              <w:marRight w:val="0"/>
                              <w:marTop w:val="0"/>
                              <w:marBottom w:val="0"/>
                              <w:divBdr>
                                <w:top w:val="none" w:sz="0" w:space="0" w:color="auto"/>
                                <w:left w:val="none" w:sz="0" w:space="0" w:color="auto"/>
                                <w:bottom w:val="none" w:sz="0" w:space="0" w:color="auto"/>
                                <w:right w:val="none" w:sz="0" w:space="0" w:color="auto"/>
                              </w:divBdr>
                              <w:divsChild>
                                <w:div w:id="1851212015">
                                  <w:marLeft w:val="0"/>
                                  <w:marRight w:val="0"/>
                                  <w:marTop w:val="0"/>
                                  <w:marBottom w:val="0"/>
                                  <w:divBdr>
                                    <w:top w:val="none" w:sz="0" w:space="0" w:color="auto"/>
                                    <w:left w:val="none" w:sz="0" w:space="0" w:color="auto"/>
                                    <w:bottom w:val="none" w:sz="0" w:space="0" w:color="auto"/>
                                    <w:right w:val="none" w:sz="0" w:space="0" w:color="auto"/>
                                  </w:divBdr>
                                  <w:divsChild>
                                    <w:div w:id="955989743">
                                      <w:marLeft w:val="0"/>
                                      <w:marRight w:val="0"/>
                                      <w:marTop w:val="0"/>
                                      <w:marBottom w:val="0"/>
                                      <w:divBdr>
                                        <w:top w:val="none" w:sz="0" w:space="0" w:color="auto"/>
                                        <w:left w:val="none" w:sz="0" w:space="0" w:color="auto"/>
                                        <w:bottom w:val="none" w:sz="0" w:space="0" w:color="auto"/>
                                        <w:right w:val="none" w:sz="0" w:space="0" w:color="auto"/>
                                      </w:divBdr>
                                      <w:divsChild>
                                        <w:div w:id="1939368986">
                                          <w:marLeft w:val="0"/>
                                          <w:marRight w:val="0"/>
                                          <w:marTop w:val="0"/>
                                          <w:marBottom w:val="0"/>
                                          <w:divBdr>
                                            <w:top w:val="none" w:sz="0" w:space="0" w:color="auto"/>
                                            <w:left w:val="none" w:sz="0" w:space="0" w:color="auto"/>
                                            <w:bottom w:val="none" w:sz="0" w:space="0" w:color="auto"/>
                                            <w:right w:val="none" w:sz="0" w:space="0" w:color="auto"/>
                                          </w:divBdr>
                                          <w:divsChild>
                                            <w:div w:id="431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33987">
      <w:bodyDiv w:val="1"/>
      <w:marLeft w:val="0"/>
      <w:marRight w:val="0"/>
      <w:marTop w:val="0"/>
      <w:marBottom w:val="0"/>
      <w:divBdr>
        <w:top w:val="none" w:sz="0" w:space="0" w:color="auto"/>
        <w:left w:val="none" w:sz="0" w:space="0" w:color="auto"/>
        <w:bottom w:val="none" w:sz="0" w:space="0" w:color="auto"/>
        <w:right w:val="none" w:sz="0" w:space="0" w:color="auto"/>
      </w:divBdr>
      <w:divsChild>
        <w:div w:id="356083389">
          <w:marLeft w:val="0"/>
          <w:marRight w:val="0"/>
          <w:marTop w:val="0"/>
          <w:marBottom w:val="0"/>
          <w:divBdr>
            <w:top w:val="none" w:sz="0" w:space="0" w:color="auto"/>
            <w:left w:val="none" w:sz="0" w:space="0" w:color="auto"/>
            <w:bottom w:val="none" w:sz="0" w:space="0" w:color="auto"/>
            <w:right w:val="none" w:sz="0" w:space="0" w:color="auto"/>
          </w:divBdr>
          <w:divsChild>
            <w:div w:id="1310939960">
              <w:marLeft w:val="0"/>
              <w:marRight w:val="244"/>
              <w:marTop w:val="0"/>
              <w:marBottom w:val="0"/>
              <w:divBdr>
                <w:top w:val="none" w:sz="0" w:space="0" w:color="auto"/>
                <w:left w:val="none" w:sz="0" w:space="0" w:color="auto"/>
                <w:bottom w:val="none" w:sz="0" w:space="0" w:color="auto"/>
                <w:right w:val="none" w:sz="0" w:space="0" w:color="auto"/>
              </w:divBdr>
              <w:divsChild>
                <w:div w:id="327904526">
                  <w:marLeft w:val="0"/>
                  <w:marRight w:val="0"/>
                  <w:marTop w:val="0"/>
                  <w:marBottom w:val="0"/>
                  <w:divBdr>
                    <w:top w:val="none" w:sz="0" w:space="0" w:color="auto"/>
                    <w:left w:val="none" w:sz="0" w:space="0" w:color="auto"/>
                    <w:bottom w:val="none" w:sz="0" w:space="0" w:color="auto"/>
                    <w:right w:val="none" w:sz="0" w:space="0" w:color="auto"/>
                  </w:divBdr>
                  <w:divsChild>
                    <w:div w:id="1232734266">
                      <w:marLeft w:val="0"/>
                      <w:marRight w:val="0"/>
                      <w:marTop w:val="0"/>
                      <w:marBottom w:val="0"/>
                      <w:divBdr>
                        <w:top w:val="none" w:sz="0" w:space="0" w:color="auto"/>
                        <w:left w:val="none" w:sz="0" w:space="0" w:color="auto"/>
                        <w:bottom w:val="none" w:sz="0" w:space="0" w:color="auto"/>
                        <w:right w:val="none" w:sz="0" w:space="0" w:color="auto"/>
                      </w:divBdr>
                      <w:divsChild>
                        <w:div w:id="1205287939">
                          <w:marLeft w:val="0"/>
                          <w:marRight w:val="0"/>
                          <w:marTop w:val="0"/>
                          <w:marBottom w:val="0"/>
                          <w:divBdr>
                            <w:top w:val="none" w:sz="0" w:space="0" w:color="auto"/>
                            <w:left w:val="none" w:sz="0" w:space="0" w:color="auto"/>
                            <w:bottom w:val="none" w:sz="0" w:space="0" w:color="auto"/>
                            <w:right w:val="none" w:sz="0" w:space="0" w:color="auto"/>
                          </w:divBdr>
                          <w:divsChild>
                            <w:div w:id="117602603">
                              <w:marLeft w:val="0"/>
                              <w:marRight w:val="0"/>
                              <w:marTop w:val="0"/>
                              <w:marBottom w:val="0"/>
                              <w:divBdr>
                                <w:top w:val="none" w:sz="0" w:space="0" w:color="auto"/>
                                <w:left w:val="none" w:sz="0" w:space="0" w:color="auto"/>
                                <w:bottom w:val="none" w:sz="0" w:space="0" w:color="auto"/>
                                <w:right w:val="none" w:sz="0" w:space="0" w:color="auto"/>
                              </w:divBdr>
                            </w:div>
                            <w:div w:id="167254093">
                              <w:marLeft w:val="0"/>
                              <w:marRight w:val="0"/>
                              <w:marTop w:val="75"/>
                              <w:marBottom w:val="0"/>
                              <w:divBdr>
                                <w:top w:val="none" w:sz="0" w:space="0" w:color="auto"/>
                                <w:left w:val="none" w:sz="0" w:space="0" w:color="auto"/>
                                <w:bottom w:val="none" w:sz="0" w:space="0" w:color="auto"/>
                                <w:right w:val="none" w:sz="0" w:space="0" w:color="auto"/>
                              </w:divBdr>
                              <w:divsChild>
                                <w:div w:id="296185099">
                                  <w:marLeft w:val="0"/>
                                  <w:marRight w:val="0"/>
                                  <w:marTop w:val="0"/>
                                  <w:marBottom w:val="0"/>
                                  <w:divBdr>
                                    <w:top w:val="none" w:sz="0" w:space="0" w:color="auto"/>
                                    <w:left w:val="none" w:sz="0" w:space="0" w:color="auto"/>
                                    <w:bottom w:val="none" w:sz="0" w:space="0" w:color="auto"/>
                                    <w:right w:val="none" w:sz="0" w:space="0" w:color="auto"/>
                                  </w:divBdr>
                                </w:div>
                                <w:div w:id="1479804415">
                                  <w:marLeft w:val="150"/>
                                  <w:marRight w:val="0"/>
                                  <w:marTop w:val="0"/>
                                  <w:marBottom w:val="0"/>
                                  <w:divBdr>
                                    <w:top w:val="none" w:sz="0" w:space="0" w:color="auto"/>
                                    <w:left w:val="none" w:sz="0" w:space="0" w:color="auto"/>
                                    <w:bottom w:val="none" w:sz="0" w:space="0" w:color="auto"/>
                                    <w:right w:val="none" w:sz="0" w:space="0" w:color="auto"/>
                                  </w:divBdr>
                                </w:div>
                              </w:divsChild>
                            </w:div>
                            <w:div w:id="1923250890">
                              <w:marLeft w:val="0"/>
                              <w:marRight w:val="0"/>
                              <w:marTop w:val="0"/>
                              <w:marBottom w:val="0"/>
                              <w:divBdr>
                                <w:top w:val="none" w:sz="0" w:space="0" w:color="auto"/>
                                <w:left w:val="none" w:sz="0" w:space="0" w:color="auto"/>
                                <w:bottom w:val="none" w:sz="0" w:space="0" w:color="auto"/>
                                <w:right w:val="none" w:sz="0" w:space="0" w:color="auto"/>
                              </w:divBdr>
                              <w:divsChild>
                                <w:div w:id="1367172356">
                                  <w:marLeft w:val="0"/>
                                  <w:marRight w:val="0"/>
                                  <w:marTop w:val="0"/>
                                  <w:marBottom w:val="0"/>
                                  <w:divBdr>
                                    <w:top w:val="single" w:sz="2" w:space="0" w:color="555E82"/>
                                    <w:left w:val="single" w:sz="12" w:space="0" w:color="555E82"/>
                                    <w:bottom w:val="single" w:sz="6" w:space="0" w:color="555E82"/>
                                    <w:right w:val="single" w:sz="12" w:space="0" w:color="555E82"/>
                                  </w:divBdr>
                                </w:div>
                              </w:divsChild>
                            </w:div>
                          </w:divsChild>
                        </w:div>
                      </w:divsChild>
                    </w:div>
                  </w:divsChild>
                </w:div>
              </w:divsChild>
            </w:div>
          </w:divsChild>
        </w:div>
      </w:divsChild>
    </w:div>
    <w:div w:id="151873026">
      <w:bodyDiv w:val="1"/>
      <w:marLeft w:val="0"/>
      <w:marRight w:val="0"/>
      <w:marTop w:val="0"/>
      <w:marBottom w:val="0"/>
      <w:divBdr>
        <w:top w:val="none" w:sz="0" w:space="0" w:color="auto"/>
        <w:left w:val="none" w:sz="0" w:space="0" w:color="auto"/>
        <w:bottom w:val="none" w:sz="0" w:space="0" w:color="auto"/>
        <w:right w:val="none" w:sz="0" w:space="0" w:color="auto"/>
      </w:divBdr>
      <w:divsChild>
        <w:div w:id="1647204315">
          <w:marLeft w:val="0"/>
          <w:marRight w:val="0"/>
          <w:marTop w:val="0"/>
          <w:marBottom w:val="0"/>
          <w:divBdr>
            <w:top w:val="none" w:sz="0" w:space="0" w:color="auto"/>
            <w:left w:val="none" w:sz="0" w:space="0" w:color="auto"/>
            <w:bottom w:val="none" w:sz="0" w:space="0" w:color="auto"/>
            <w:right w:val="none" w:sz="0" w:space="0" w:color="auto"/>
          </w:divBdr>
          <w:divsChild>
            <w:div w:id="871962751">
              <w:marLeft w:val="0"/>
              <w:marRight w:val="0"/>
              <w:marTop w:val="0"/>
              <w:marBottom w:val="0"/>
              <w:divBdr>
                <w:top w:val="none" w:sz="0" w:space="0" w:color="auto"/>
                <w:left w:val="none" w:sz="0" w:space="0" w:color="auto"/>
                <w:bottom w:val="none" w:sz="0" w:space="0" w:color="auto"/>
                <w:right w:val="none" w:sz="0" w:space="0" w:color="auto"/>
              </w:divBdr>
              <w:divsChild>
                <w:div w:id="512306511">
                  <w:marLeft w:val="0"/>
                  <w:marRight w:val="0"/>
                  <w:marTop w:val="0"/>
                  <w:marBottom w:val="0"/>
                  <w:divBdr>
                    <w:top w:val="none" w:sz="0" w:space="0" w:color="auto"/>
                    <w:left w:val="none" w:sz="0" w:space="0" w:color="auto"/>
                    <w:bottom w:val="none" w:sz="0" w:space="0" w:color="auto"/>
                    <w:right w:val="none" w:sz="0" w:space="0" w:color="auto"/>
                  </w:divBdr>
                  <w:divsChild>
                    <w:div w:id="275259525">
                      <w:marLeft w:val="0"/>
                      <w:marRight w:val="0"/>
                      <w:marTop w:val="0"/>
                      <w:marBottom w:val="0"/>
                      <w:divBdr>
                        <w:top w:val="none" w:sz="0" w:space="0" w:color="auto"/>
                        <w:left w:val="none" w:sz="0" w:space="0" w:color="auto"/>
                        <w:bottom w:val="none" w:sz="0" w:space="0" w:color="auto"/>
                        <w:right w:val="none" w:sz="0" w:space="0" w:color="auto"/>
                      </w:divBdr>
                      <w:divsChild>
                        <w:div w:id="1678850259">
                          <w:marLeft w:val="0"/>
                          <w:marRight w:val="0"/>
                          <w:marTop w:val="0"/>
                          <w:marBottom w:val="0"/>
                          <w:divBdr>
                            <w:top w:val="none" w:sz="0" w:space="0" w:color="auto"/>
                            <w:left w:val="none" w:sz="0" w:space="0" w:color="auto"/>
                            <w:bottom w:val="none" w:sz="0" w:space="0" w:color="auto"/>
                            <w:right w:val="none" w:sz="0" w:space="0" w:color="auto"/>
                          </w:divBdr>
                          <w:divsChild>
                            <w:div w:id="2034257277">
                              <w:marLeft w:val="0"/>
                              <w:marRight w:val="0"/>
                              <w:marTop w:val="0"/>
                              <w:marBottom w:val="0"/>
                              <w:divBdr>
                                <w:top w:val="none" w:sz="0" w:space="0" w:color="auto"/>
                                <w:left w:val="none" w:sz="0" w:space="0" w:color="auto"/>
                                <w:bottom w:val="none" w:sz="0" w:space="0" w:color="auto"/>
                                <w:right w:val="none" w:sz="0" w:space="0" w:color="auto"/>
                              </w:divBdr>
                              <w:divsChild>
                                <w:div w:id="146437375">
                                  <w:marLeft w:val="0"/>
                                  <w:marRight w:val="0"/>
                                  <w:marTop w:val="0"/>
                                  <w:marBottom w:val="0"/>
                                  <w:divBdr>
                                    <w:top w:val="none" w:sz="0" w:space="0" w:color="auto"/>
                                    <w:left w:val="none" w:sz="0" w:space="0" w:color="auto"/>
                                    <w:bottom w:val="none" w:sz="0" w:space="0" w:color="auto"/>
                                    <w:right w:val="none" w:sz="0" w:space="0" w:color="auto"/>
                                  </w:divBdr>
                                  <w:divsChild>
                                    <w:div w:id="773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46698">
      <w:bodyDiv w:val="1"/>
      <w:marLeft w:val="0"/>
      <w:marRight w:val="0"/>
      <w:marTop w:val="0"/>
      <w:marBottom w:val="0"/>
      <w:divBdr>
        <w:top w:val="none" w:sz="0" w:space="0" w:color="auto"/>
        <w:left w:val="none" w:sz="0" w:space="0" w:color="auto"/>
        <w:bottom w:val="none" w:sz="0" w:space="0" w:color="auto"/>
        <w:right w:val="none" w:sz="0" w:space="0" w:color="auto"/>
      </w:divBdr>
    </w:div>
    <w:div w:id="297153221">
      <w:bodyDiv w:val="1"/>
      <w:marLeft w:val="0"/>
      <w:marRight w:val="0"/>
      <w:marTop w:val="0"/>
      <w:marBottom w:val="0"/>
      <w:divBdr>
        <w:top w:val="none" w:sz="0" w:space="0" w:color="auto"/>
        <w:left w:val="none" w:sz="0" w:space="0" w:color="auto"/>
        <w:bottom w:val="none" w:sz="0" w:space="0" w:color="auto"/>
        <w:right w:val="none" w:sz="0" w:space="0" w:color="auto"/>
      </w:divBdr>
      <w:divsChild>
        <w:div w:id="1750422808">
          <w:marLeft w:val="0"/>
          <w:marRight w:val="0"/>
          <w:marTop w:val="0"/>
          <w:marBottom w:val="0"/>
          <w:divBdr>
            <w:top w:val="none" w:sz="0" w:space="0" w:color="auto"/>
            <w:left w:val="none" w:sz="0" w:space="0" w:color="auto"/>
            <w:bottom w:val="none" w:sz="0" w:space="0" w:color="auto"/>
            <w:right w:val="none" w:sz="0" w:space="0" w:color="auto"/>
          </w:divBdr>
          <w:divsChild>
            <w:div w:id="1770465402">
              <w:marLeft w:val="0"/>
              <w:marRight w:val="0"/>
              <w:marTop w:val="0"/>
              <w:marBottom w:val="0"/>
              <w:divBdr>
                <w:top w:val="none" w:sz="0" w:space="0" w:color="auto"/>
                <w:left w:val="none" w:sz="0" w:space="0" w:color="auto"/>
                <w:bottom w:val="none" w:sz="0" w:space="0" w:color="auto"/>
                <w:right w:val="none" w:sz="0" w:space="0" w:color="auto"/>
              </w:divBdr>
              <w:divsChild>
                <w:div w:id="729115284">
                  <w:marLeft w:val="0"/>
                  <w:marRight w:val="0"/>
                  <w:marTop w:val="0"/>
                  <w:marBottom w:val="0"/>
                  <w:divBdr>
                    <w:top w:val="none" w:sz="0" w:space="0" w:color="auto"/>
                    <w:left w:val="none" w:sz="0" w:space="0" w:color="auto"/>
                    <w:bottom w:val="none" w:sz="0" w:space="0" w:color="auto"/>
                    <w:right w:val="none" w:sz="0" w:space="0" w:color="auto"/>
                  </w:divBdr>
                  <w:divsChild>
                    <w:div w:id="840199694">
                      <w:marLeft w:val="0"/>
                      <w:marRight w:val="0"/>
                      <w:marTop w:val="0"/>
                      <w:marBottom w:val="0"/>
                      <w:divBdr>
                        <w:top w:val="none" w:sz="0" w:space="0" w:color="auto"/>
                        <w:left w:val="none" w:sz="0" w:space="0" w:color="auto"/>
                        <w:bottom w:val="none" w:sz="0" w:space="0" w:color="auto"/>
                        <w:right w:val="none" w:sz="0" w:space="0" w:color="auto"/>
                      </w:divBdr>
                      <w:divsChild>
                        <w:div w:id="1703288542">
                          <w:marLeft w:val="0"/>
                          <w:marRight w:val="0"/>
                          <w:marTop w:val="0"/>
                          <w:marBottom w:val="0"/>
                          <w:divBdr>
                            <w:top w:val="none" w:sz="0" w:space="0" w:color="auto"/>
                            <w:left w:val="none" w:sz="0" w:space="0" w:color="auto"/>
                            <w:bottom w:val="none" w:sz="0" w:space="0" w:color="auto"/>
                            <w:right w:val="none" w:sz="0" w:space="0" w:color="auto"/>
                          </w:divBdr>
                          <w:divsChild>
                            <w:div w:id="775253679">
                              <w:marLeft w:val="0"/>
                              <w:marRight w:val="0"/>
                              <w:marTop w:val="0"/>
                              <w:marBottom w:val="0"/>
                              <w:divBdr>
                                <w:top w:val="none" w:sz="0" w:space="0" w:color="auto"/>
                                <w:left w:val="none" w:sz="0" w:space="0" w:color="auto"/>
                                <w:bottom w:val="none" w:sz="0" w:space="0" w:color="auto"/>
                                <w:right w:val="none" w:sz="0" w:space="0" w:color="auto"/>
                              </w:divBdr>
                              <w:divsChild>
                                <w:div w:id="12635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71040">
      <w:marLeft w:val="0"/>
      <w:marRight w:val="0"/>
      <w:marTop w:val="0"/>
      <w:marBottom w:val="0"/>
      <w:divBdr>
        <w:top w:val="none" w:sz="0" w:space="0" w:color="auto"/>
        <w:left w:val="none" w:sz="0" w:space="0" w:color="auto"/>
        <w:bottom w:val="none" w:sz="0" w:space="0" w:color="auto"/>
        <w:right w:val="none" w:sz="0" w:space="0" w:color="auto"/>
      </w:divBdr>
    </w:div>
    <w:div w:id="382674545">
      <w:bodyDiv w:val="1"/>
      <w:marLeft w:val="0"/>
      <w:marRight w:val="0"/>
      <w:marTop w:val="0"/>
      <w:marBottom w:val="0"/>
      <w:divBdr>
        <w:top w:val="none" w:sz="0" w:space="0" w:color="auto"/>
        <w:left w:val="none" w:sz="0" w:space="0" w:color="auto"/>
        <w:bottom w:val="none" w:sz="0" w:space="0" w:color="auto"/>
        <w:right w:val="none" w:sz="0" w:space="0" w:color="auto"/>
      </w:divBdr>
    </w:div>
    <w:div w:id="434977913">
      <w:bodyDiv w:val="1"/>
      <w:marLeft w:val="0"/>
      <w:marRight w:val="0"/>
      <w:marTop w:val="0"/>
      <w:marBottom w:val="0"/>
      <w:divBdr>
        <w:top w:val="none" w:sz="0" w:space="0" w:color="auto"/>
        <w:left w:val="none" w:sz="0" w:space="0" w:color="auto"/>
        <w:bottom w:val="none" w:sz="0" w:space="0" w:color="auto"/>
        <w:right w:val="none" w:sz="0" w:space="0" w:color="auto"/>
      </w:divBdr>
    </w:div>
    <w:div w:id="446974389">
      <w:bodyDiv w:val="1"/>
      <w:marLeft w:val="0"/>
      <w:marRight w:val="0"/>
      <w:marTop w:val="0"/>
      <w:marBottom w:val="0"/>
      <w:divBdr>
        <w:top w:val="none" w:sz="0" w:space="0" w:color="auto"/>
        <w:left w:val="none" w:sz="0" w:space="0" w:color="auto"/>
        <w:bottom w:val="none" w:sz="0" w:space="0" w:color="auto"/>
        <w:right w:val="none" w:sz="0" w:space="0" w:color="auto"/>
      </w:divBdr>
      <w:divsChild>
        <w:div w:id="1648051456">
          <w:marLeft w:val="0"/>
          <w:marRight w:val="0"/>
          <w:marTop w:val="0"/>
          <w:marBottom w:val="0"/>
          <w:divBdr>
            <w:top w:val="none" w:sz="0" w:space="0" w:color="auto"/>
            <w:left w:val="none" w:sz="0" w:space="0" w:color="auto"/>
            <w:bottom w:val="none" w:sz="0" w:space="0" w:color="auto"/>
            <w:right w:val="none" w:sz="0" w:space="0" w:color="auto"/>
          </w:divBdr>
          <w:divsChild>
            <w:div w:id="1991251752">
              <w:marLeft w:val="0"/>
              <w:marRight w:val="0"/>
              <w:marTop w:val="0"/>
              <w:marBottom w:val="0"/>
              <w:divBdr>
                <w:top w:val="none" w:sz="0" w:space="0" w:color="auto"/>
                <w:left w:val="none" w:sz="0" w:space="0" w:color="auto"/>
                <w:bottom w:val="none" w:sz="0" w:space="0" w:color="auto"/>
                <w:right w:val="none" w:sz="0" w:space="0" w:color="auto"/>
              </w:divBdr>
              <w:divsChild>
                <w:div w:id="734817604">
                  <w:marLeft w:val="0"/>
                  <w:marRight w:val="0"/>
                  <w:marTop w:val="0"/>
                  <w:marBottom w:val="0"/>
                  <w:divBdr>
                    <w:top w:val="none" w:sz="0" w:space="0" w:color="auto"/>
                    <w:left w:val="none" w:sz="0" w:space="0" w:color="auto"/>
                    <w:bottom w:val="none" w:sz="0" w:space="0" w:color="auto"/>
                    <w:right w:val="none" w:sz="0" w:space="0" w:color="auto"/>
                  </w:divBdr>
                  <w:divsChild>
                    <w:div w:id="1113327801">
                      <w:marLeft w:val="0"/>
                      <w:marRight w:val="0"/>
                      <w:marTop w:val="0"/>
                      <w:marBottom w:val="0"/>
                      <w:divBdr>
                        <w:top w:val="none" w:sz="0" w:space="0" w:color="auto"/>
                        <w:left w:val="none" w:sz="0" w:space="0" w:color="auto"/>
                        <w:bottom w:val="none" w:sz="0" w:space="0" w:color="auto"/>
                        <w:right w:val="none" w:sz="0" w:space="0" w:color="auto"/>
                      </w:divBdr>
                      <w:divsChild>
                        <w:div w:id="2015960228">
                          <w:marLeft w:val="0"/>
                          <w:marRight w:val="0"/>
                          <w:marTop w:val="0"/>
                          <w:marBottom w:val="0"/>
                          <w:divBdr>
                            <w:top w:val="none" w:sz="0" w:space="0" w:color="auto"/>
                            <w:left w:val="none" w:sz="0" w:space="0" w:color="auto"/>
                            <w:bottom w:val="none" w:sz="0" w:space="0" w:color="auto"/>
                            <w:right w:val="none" w:sz="0" w:space="0" w:color="auto"/>
                          </w:divBdr>
                          <w:divsChild>
                            <w:div w:id="267129600">
                              <w:marLeft w:val="0"/>
                              <w:marRight w:val="0"/>
                              <w:marTop w:val="0"/>
                              <w:marBottom w:val="0"/>
                              <w:divBdr>
                                <w:top w:val="none" w:sz="0" w:space="0" w:color="auto"/>
                                <w:left w:val="none" w:sz="0" w:space="0" w:color="auto"/>
                                <w:bottom w:val="none" w:sz="0" w:space="0" w:color="auto"/>
                                <w:right w:val="none" w:sz="0" w:space="0" w:color="auto"/>
                              </w:divBdr>
                              <w:divsChild>
                                <w:div w:id="807474741">
                                  <w:marLeft w:val="0"/>
                                  <w:marRight w:val="0"/>
                                  <w:marTop w:val="0"/>
                                  <w:marBottom w:val="0"/>
                                  <w:divBdr>
                                    <w:top w:val="none" w:sz="0" w:space="0" w:color="auto"/>
                                    <w:left w:val="none" w:sz="0" w:space="0" w:color="auto"/>
                                    <w:bottom w:val="none" w:sz="0" w:space="0" w:color="auto"/>
                                    <w:right w:val="none" w:sz="0" w:space="0" w:color="auto"/>
                                  </w:divBdr>
                                  <w:divsChild>
                                    <w:div w:id="921571137">
                                      <w:marLeft w:val="0"/>
                                      <w:marRight w:val="0"/>
                                      <w:marTop w:val="0"/>
                                      <w:marBottom w:val="0"/>
                                      <w:divBdr>
                                        <w:top w:val="none" w:sz="0" w:space="0" w:color="auto"/>
                                        <w:left w:val="none" w:sz="0" w:space="0" w:color="auto"/>
                                        <w:bottom w:val="none" w:sz="0" w:space="0" w:color="auto"/>
                                        <w:right w:val="none" w:sz="0" w:space="0" w:color="auto"/>
                                      </w:divBdr>
                                      <w:divsChild>
                                        <w:div w:id="1754744441">
                                          <w:marLeft w:val="0"/>
                                          <w:marRight w:val="0"/>
                                          <w:marTop w:val="0"/>
                                          <w:marBottom w:val="0"/>
                                          <w:divBdr>
                                            <w:top w:val="none" w:sz="0" w:space="0" w:color="auto"/>
                                            <w:left w:val="none" w:sz="0" w:space="0" w:color="auto"/>
                                            <w:bottom w:val="none" w:sz="0" w:space="0" w:color="auto"/>
                                            <w:right w:val="none" w:sz="0" w:space="0" w:color="auto"/>
                                          </w:divBdr>
                                          <w:divsChild>
                                            <w:div w:id="897282636">
                                              <w:marLeft w:val="0"/>
                                              <w:marRight w:val="0"/>
                                              <w:marTop w:val="0"/>
                                              <w:marBottom w:val="0"/>
                                              <w:divBdr>
                                                <w:top w:val="none" w:sz="0" w:space="0" w:color="auto"/>
                                                <w:left w:val="none" w:sz="0" w:space="0" w:color="auto"/>
                                                <w:bottom w:val="none" w:sz="0" w:space="0" w:color="auto"/>
                                                <w:right w:val="none" w:sz="0" w:space="0" w:color="auto"/>
                                              </w:divBdr>
                                              <w:divsChild>
                                                <w:div w:id="1101024293">
                                                  <w:marLeft w:val="0"/>
                                                  <w:marRight w:val="0"/>
                                                  <w:marTop w:val="0"/>
                                                  <w:marBottom w:val="0"/>
                                                  <w:divBdr>
                                                    <w:top w:val="none" w:sz="0" w:space="0" w:color="auto"/>
                                                    <w:left w:val="none" w:sz="0" w:space="0" w:color="auto"/>
                                                    <w:bottom w:val="none" w:sz="0" w:space="0" w:color="auto"/>
                                                    <w:right w:val="none" w:sz="0" w:space="0" w:color="auto"/>
                                                  </w:divBdr>
                                                  <w:divsChild>
                                                    <w:div w:id="1033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443241">
      <w:bodyDiv w:val="1"/>
      <w:marLeft w:val="0"/>
      <w:marRight w:val="0"/>
      <w:marTop w:val="0"/>
      <w:marBottom w:val="0"/>
      <w:divBdr>
        <w:top w:val="none" w:sz="0" w:space="0" w:color="auto"/>
        <w:left w:val="none" w:sz="0" w:space="0" w:color="auto"/>
        <w:bottom w:val="none" w:sz="0" w:space="0" w:color="auto"/>
        <w:right w:val="none" w:sz="0" w:space="0" w:color="auto"/>
      </w:divBdr>
      <w:divsChild>
        <w:div w:id="1215776880">
          <w:marLeft w:val="0"/>
          <w:marRight w:val="0"/>
          <w:marTop w:val="0"/>
          <w:marBottom w:val="0"/>
          <w:divBdr>
            <w:top w:val="none" w:sz="0" w:space="0" w:color="auto"/>
            <w:left w:val="none" w:sz="0" w:space="0" w:color="auto"/>
            <w:bottom w:val="none" w:sz="0" w:space="0" w:color="auto"/>
            <w:right w:val="none" w:sz="0" w:space="0" w:color="auto"/>
          </w:divBdr>
          <w:divsChild>
            <w:div w:id="1388914819">
              <w:marLeft w:val="0"/>
              <w:marRight w:val="0"/>
              <w:marTop w:val="0"/>
              <w:marBottom w:val="0"/>
              <w:divBdr>
                <w:top w:val="none" w:sz="0" w:space="0" w:color="auto"/>
                <w:left w:val="none" w:sz="0" w:space="0" w:color="auto"/>
                <w:bottom w:val="none" w:sz="0" w:space="0" w:color="auto"/>
                <w:right w:val="none" w:sz="0" w:space="0" w:color="auto"/>
              </w:divBdr>
              <w:divsChild>
                <w:div w:id="72627946">
                  <w:marLeft w:val="0"/>
                  <w:marRight w:val="0"/>
                  <w:marTop w:val="0"/>
                  <w:marBottom w:val="0"/>
                  <w:divBdr>
                    <w:top w:val="none" w:sz="0" w:space="0" w:color="auto"/>
                    <w:left w:val="none" w:sz="0" w:space="0" w:color="auto"/>
                    <w:bottom w:val="none" w:sz="0" w:space="0" w:color="auto"/>
                    <w:right w:val="none" w:sz="0" w:space="0" w:color="auto"/>
                  </w:divBdr>
                  <w:divsChild>
                    <w:div w:id="1558471900">
                      <w:marLeft w:val="0"/>
                      <w:marRight w:val="0"/>
                      <w:marTop w:val="0"/>
                      <w:marBottom w:val="0"/>
                      <w:divBdr>
                        <w:top w:val="none" w:sz="0" w:space="0" w:color="auto"/>
                        <w:left w:val="none" w:sz="0" w:space="0" w:color="auto"/>
                        <w:bottom w:val="none" w:sz="0" w:space="0" w:color="auto"/>
                        <w:right w:val="none" w:sz="0" w:space="0" w:color="auto"/>
                      </w:divBdr>
                      <w:divsChild>
                        <w:div w:id="1792674229">
                          <w:marLeft w:val="0"/>
                          <w:marRight w:val="0"/>
                          <w:marTop w:val="0"/>
                          <w:marBottom w:val="0"/>
                          <w:divBdr>
                            <w:top w:val="none" w:sz="0" w:space="0" w:color="auto"/>
                            <w:left w:val="none" w:sz="0" w:space="0" w:color="auto"/>
                            <w:bottom w:val="none" w:sz="0" w:space="0" w:color="auto"/>
                            <w:right w:val="none" w:sz="0" w:space="0" w:color="auto"/>
                          </w:divBdr>
                          <w:divsChild>
                            <w:div w:id="947464104">
                              <w:marLeft w:val="0"/>
                              <w:marRight w:val="0"/>
                              <w:marTop w:val="0"/>
                              <w:marBottom w:val="0"/>
                              <w:divBdr>
                                <w:top w:val="none" w:sz="0" w:space="0" w:color="auto"/>
                                <w:left w:val="none" w:sz="0" w:space="0" w:color="auto"/>
                                <w:bottom w:val="none" w:sz="0" w:space="0" w:color="auto"/>
                                <w:right w:val="none" w:sz="0" w:space="0" w:color="auto"/>
                              </w:divBdr>
                              <w:divsChild>
                                <w:div w:id="130101460">
                                  <w:marLeft w:val="0"/>
                                  <w:marRight w:val="0"/>
                                  <w:marTop w:val="0"/>
                                  <w:marBottom w:val="0"/>
                                  <w:divBdr>
                                    <w:top w:val="none" w:sz="0" w:space="0" w:color="auto"/>
                                    <w:left w:val="none" w:sz="0" w:space="0" w:color="auto"/>
                                    <w:bottom w:val="none" w:sz="0" w:space="0" w:color="auto"/>
                                    <w:right w:val="none" w:sz="0" w:space="0" w:color="auto"/>
                                  </w:divBdr>
                                  <w:divsChild>
                                    <w:div w:id="131994402">
                                      <w:marLeft w:val="0"/>
                                      <w:marRight w:val="0"/>
                                      <w:marTop w:val="0"/>
                                      <w:marBottom w:val="0"/>
                                      <w:divBdr>
                                        <w:top w:val="none" w:sz="0" w:space="0" w:color="auto"/>
                                        <w:left w:val="none" w:sz="0" w:space="0" w:color="auto"/>
                                        <w:bottom w:val="none" w:sz="0" w:space="0" w:color="auto"/>
                                        <w:right w:val="none" w:sz="0" w:space="0" w:color="auto"/>
                                      </w:divBdr>
                                      <w:divsChild>
                                        <w:div w:id="2033527331">
                                          <w:marLeft w:val="0"/>
                                          <w:marRight w:val="0"/>
                                          <w:marTop w:val="0"/>
                                          <w:marBottom w:val="0"/>
                                          <w:divBdr>
                                            <w:top w:val="none" w:sz="0" w:space="0" w:color="auto"/>
                                            <w:left w:val="none" w:sz="0" w:space="0" w:color="auto"/>
                                            <w:bottom w:val="none" w:sz="0" w:space="0" w:color="auto"/>
                                            <w:right w:val="none" w:sz="0" w:space="0" w:color="auto"/>
                                          </w:divBdr>
                                          <w:divsChild>
                                            <w:div w:id="1160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3483">
      <w:marLeft w:val="0"/>
      <w:marRight w:val="0"/>
      <w:marTop w:val="0"/>
      <w:marBottom w:val="0"/>
      <w:divBdr>
        <w:top w:val="none" w:sz="0" w:space="0" w:color="auto"/>
        <w:left w:val="none" w:sz="0" w:space="0" w:color="auto"/>
        <w:bottom w:val="none" w:sz="0" w:space="0" w:color="auto"/>
        <w:right w:val="none" w:sz="0" w:space="0" w:color="auto"/>
      </w:divBdr>
      <w:divsChild>
        <w:div w:id="1451822405">
          <w:marLeft w:val="0"/>
          <w:marRight w:val="244"/>
          <w:marTop w:val="0"/>
          <w:marBottom w:val="0"/>
          <w:divBdr>
            <w:top w:val="none" w:sz="0" w:space="0" w:color="auto"/>
            <w:left w:val="none" w:sz="0" w:space="0" w:color="auto"/>
            <w:bottom w:val="none" w:sz="0" w:space="0" w:color="auto"/>
            <w:right w:val="none" w:sz="0" w:space="0" w:color="auto"/>
          </w:divBdr>
          <w:divsChild>
            <w:div w:id="667948276">
              <w:marLeft w:val="0"/>
              <w:marRight w:val="0"/>
              <w:marTop w:val="0"/>
              <w:marBottom w:val="0"/>
              <w:divBdr>
                <w:top w:val="none" w:sz="0" w:space="0" w:color="auto"/>
                <w:left w:val="none" w:sz="0" w:space="0" w:color="auto"/>
                <w:bottom w:val="none" w:sz="0" w:space="0" w:color="auto"/>
                <w:right w:val="none" w:sz="0" w:space="0" w:color="auto"/>
              </w:divBdr>
              <w:divsChild>
                <w:div w:id="1120343875">
                  <w:marLeft w:val="0"/>
                  <w:marRight w:val="0"/>
                  <w:marTop w:val="0"/>
                  <w:marBottom w:val="0"/>
                  <w:divBdr>
                    <w:top w:val="none" w:sz="0" w:space="0" w:color="auto"/>
                    <w:left w:val="none" w:sz="0" w:space="0" w:color="auto"/>
                    <w:bottom w:val="none" w:sz="0" w:space="0" w:color="auto"/>
                    <w:right w:val="none" w:sz="0" w:space="0" w:color="auto"/>
                  </w:divBdr>
                  <w:divsChild>
                    <w:div w:id="1394543111">
                      <w:marLeft w:val="0"/>
                      <w:marRight w:val="0"/>
                      <w:marTop w:val="0"/>
                      <w:marBottom w:val="0"/>
                      <w:divBdr>
                        <w:top w:val="none" w:sz="0" w:space="0" w:color="auto"/>
                        <w:left w:val="none" w:sz="0" w:space="0" w:color="auto"/>
                        <w:bottom w:val="none" w:sz="0" w:space="0" w:color="auto"/>
                        <w:right w:val="none" w:sz="0" w:space="0" w:color="auto"/>
                      </w:divBdr>
                    </w:div>
                  </w:divsChild>
                </w:div>
                <w:div w:id="303048901">
                  <w:marLeft w:val="0"/>
                  <w:marRight w:val="0"/>
                  <w:marTop w:val="0"/>
                  <w:marBottom w:val="0"/>
                  <w:divBdr>
                    <w:top w:val="none" w:sz="0" w:space="0" w:color="auto"/>
                    <w:left w:val="none" w:sz="0" w:space="0" w:color="auto"/>
                    <w:bottom w:val="none" w:sz="0" w:space="0" w:color="auto"/>
                    <w:right w:val="none" w:sz="0" w:space="0" w:color="auto"/>
                  </w:divBdr>
                  <w:divsChild>
                    <w:div w:id="701126409">
                      <w:marLeft w:val="0"/>
                      <w:marRight w:val="0"/>
                      <w:marTop w:val="0"/>
                      <w:marBottom w:val="0"/>
                      <w:divBdr>
                        <w:top w:val="none" w:sz="0" w:space="0" w:color="auto"/>
                        <w:left w:val="none" w:sz="0" w:space="0" w:color="auto"/>
                        <w:bottom w:val="none" w:sz="0" w:space="0" w:color="auto"/>
                        <w:right w:val="none" w:sz="0" w:space="0" w:color="auto"/>
                      </w:divBdr>
                      <w:divsChild>
                        <w:div w:id="1635212305">
                          <w:marLeft w:val="0"/>
                          <w:marRight w:val="0"/>
                          <w:marTop w:val="0"/>
                          <w:marBottom w:val="0"/>
                          <w:divBdr>
                            <w:top w:val="none" w:sz="0" w:space="0" w:color="auto"/>
                            <w:left w:val="none" w:sz="0" w:space="0" w:color="auto"/>
                            <w:bottom w:val="none" w:sz="0" w:space="0" w:color="auto"/>
                            <w:right w:val="none" w:sz="0" w:space="0" w:color="auto"/>
                          </w:divBdr>
                        </w:div>
                        <w:div w:id="420418724">
                          <w:marLeft w:val="0"/>
                          <w:marRight w:val="0"/>
                          <w:marTop w:val="75"/>
                          <w:marBottom w:val="0"/>
                          <w:divBdr>
                            <w:top w:val="none" w:sz="0" w:space="0" w:color="auto"/>
                            <w:left w:val="none" w:sz="0" w:space="0" w:color="auto"/>
                            <w:bottom w:val="none" w:sz="0" w:space="0" w:color="auto"/>
                            <w:right w:val="none" w:sz="0" w:space="0" w:color="auto"/>
                          </w:divBdr>
                          <w:divsChild>
                            <w:div w:id="218247167">
                              <w:marLeft w:val="0"/>
                              <w:marRight w:val="0"/>
                              <w:marTop w:val="0"/>
                              <w:marBottom w:val="0"/>
                              <w:divBdr>
                                <w:top w:val="none" w:sz="0" w:space="0" w:color="auto"/>
                                <w:left w:val="none" w:sz="0" w:space="0" w:color="auto"/>
                                <w:bottom w:val="none" w:sz="0" w:space="0" w:color="auto"/>
                                <w:right w:val="none" w:sz="0" w:space="0" w:color="auto"/>
                              </w:divBdr>
                            </w:div>
                            <w:div w:id="1745643605">
                              <w:marLeft w:val="150"/>
                              <w:marRight w:val="0"/>
                              <w:marTop w:val="0"/>
                              <w:marBottom w:val="0"/>
                              <w:divBdr>
                                <w:top w:val="none" w:sz="0" w:space="0" w:color="auto"/>
                                <w:left w:val="none" w:sz="0" w:space="0" w:color="auto"/>
                                <w:bottom w:val="none" w:sz="0" w:space="0" w:color="auto"/>
                                <w:right w:val="none" w:sz="0" w:space="0" w:color="auto"/>
                              </w:divBdr>
                            </w:div>
                          </w:divsChild>
                        </w:div>
                        <w:div w:id="1407148864">
                          <w:marLeft w:val="0"/>
                          <w:marRight w:val="0"/>
                          <w:marTop w:val="0"/>
                          <w:marBottom w:val="0"/>
                          <w:divBdr>
                            <w:top w:val="none" w:sz="0" w:space="0" w:color="auto"/>
                            <w:left w:val="none" w:sz="0" w:space="0" w:color="auto"/>
                            <w:bottom w:val="none" w:sz="0" w:space="0" w:color="auto"/>
                            <w:right w:val="none" w:sz="0" w:space="0" w:color="auto"/>
                          </w:divBdr>
                          <w:divsChild>
                            <w:div w:id="1821844201">
                              <w:marLeft w:val="0"/>
                              <w:marRight w:val="0"/>
                              <w:marTop w:val="0"/>
                              <w:marBottom w:val="0"/>
                              <w:divBdr>
                                <w:top w:val="single" w:sz="2" w:space="0" w:color="555E82"/>
                                <w:left w:val="single" w:sz="12" w:space="0" w:color="555E82"/>
                                <w:bottom w:val="single" w:sz="6" w:space="0" w:color="555E82"/>
                                <w:right w:val="single" w:sz="12" w:space="0" w:color="555E82"/>
                              </w:divBdr>
                            </w:div>
                          </w:divsChild>
                        </w:div>
                      </w:divsChild>
                    </w:div>
                  </w:divsChild>
                </w:div>
                <w:div w:id="275141886">
                  <w:marLeft w:val="0"/>
                  <w:marRight w:val="0"/>
                  <w:marTop w:val="0"/>
                  <w:marBottom w:val="0"/>
                  <w:divBdr>
                    <w:top w:val="none" w:sz="0" w:space="0" w:color="auto"/>
                    <w:left w:val="none" w:sz="0" w:space="0" w:color="auto"/>
                    <w:bottom w:val="none" w:sz="0" w:space="0" w:color="auto"/>
                    <w:right w:val="none" w:sz="0" w:space="0" w:color="auto"/>
                  </w:divBdr>
                </w:div>
              </w:divsChild>
            </w:div>
            <w:div w:id="549152992">
              <w:marLeft w:val="0"/>
              <w:marRight w:val="2"/>
              <w:marTop w:val="0"/>
              <w:marBottom w:val="2"/>
              <w:divBdr>
                <w:top w:val="single" w:sz="6" w:space="11" w:color="CCCCCC"/>
                <w:left w:val="single" w:sz="6" w:space="11" w:color="CCCCCC"/>
                <w:bottom w:val="single" w:sz="6" w:space="11" w:color="CCCCCC"/>
                <w:right w:val="single" w:sz="6" w:space="11" w:color="CCCCCC"/>
              </w:divBdr>
              <w:divsChild>
                <w:div w:id="1565333330">
                  <w:marLeft w:val="0"/>
                  <w:marRight w:val="0"/>
                  <w:marTop w:val="0"/>
                  <w:marBottom w:val="0"/>
                  <w:divBdr>
                    <w:top w:val="none" w:sz="0" w:space="0" w:color="auto"/>
                    <w:left w:val="none" w:sz="0" w:space="0" w:color="auto"/>
                    <w:bottom w:val="none" w:sz="0" w:space="0" w:color="auto"/>
                    <w:right w:val="none" w:sz="0" w:space="0" w:color="auto"/>
                  </w:divBdr>
                  <w:divsChild>
                    <w:div w:id="198276420">
                      <w:marLeft w:val="0"/>
                      <w:marRight w:val="0"/>
                      <w:marTop w:val="0"/>
                      <w:marBottom w:val="0"/>
                      <w:divBdr>
                        <w:top w:val="none" w:sz="0" w:space="0" w:color="auto"/>
                        <w:left w:val="none" w:sz="0" w:space="0" w:color="auto"/>
                        <w:bottom w:val="none" w:sz="0" w:space="0" w:color="auto"/>
                        <w:right w:val="none" w:sz="0" w:space="0" w:color="auto"/>
                      </w:divBdr>
                      <w:divsChild>
                        <w:div w:id="756288323">
                          <w:marLeft w:val="0"/>
                          <w:marRight w:val="0"/>
                          <w:marTop w:val="0"/>
                          <w:marBottom w:val="0"/>
                          <w:divBdr>
                            <w:top w:val="none" w:sz="0" w:space="0" w:color="auto"/>
                            <w:left w:val="none" w:sz="0" w:space="0" w:color="auto"/>
                            <w:bottom w:val="none" w:sz="0" w:space="0" w:color="auto"/>
                            <w:right w:val="none" w:sz="0" w:space="0" w:color="auto"/>
                          </w:divBdr>
                          <w:divsChild>
                            <w:div w:id="1145581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5746581">
              <w:marLeft w:val="0"/>
              <w:marRight w:val="2"/>
              <w:marTop w:val="0"/>
              <w:marBottom w:val="2"/>
              <w:divBdr>
                <w:top w:val="single" w:sz="6" w:space="11" w:color="CCCCCC"/>
                <w:left w:val="single" w:sz="6" w:space="11" w:color="CCCCCC"/>
                <w:bottom w:val="single" w:sz="6" w:space="11" w:color="CCCCCC"/>
                <w:right w:val="single" w:sz="6" w:space="11" w:color="CCCCCC"/>
              </w:divBdr>
              <w:divsChild>
                <w:div w:id="924652144">
                  <w:marLeft w:val="0"/>
                  <w:marRight w:val="0"/>
                  <w:marTop w:val="0"/>
                  <w:marBottom w:val="0"/>
                  <w:divBdr>
                    <w:top w:val="none" w:sz="0" w:space="0" w:color="auto"/>
                    <w:left w:val="none" w:sz="0" w:space="0" w:color="auto"/>
                    <w:bottom w:val="none" w:sz="0" w:space="0" w:color="auto"/>
                    <w:right w:val="none" w:sz="0" w:space="0" w:color="auto"/>
                  </w:divBdr>
                  <w:divsChild>
                    <w:div w:id="1363170992">
                      <w:marLeft w:val="0"/>
                      <w:marRight w:val="0"/>
                      <w:marTop w:val="0"/>
                      <w:marBottom w:val="0"/>
                      <w:divBdr>
                        <w:top w:val="none" w:sz="0" w:space="0" w:color="auto"/>
                        <w:left w:val="none" w:sz="0" w:space="0" w:color="auto"/>
                        <w:bottom w:val="none" w:sz="0" w:space="0" w:color="auto"/>
                        <w:right w:val="none" w:sz="0" w:space="0" w:color="auto"/>
                      </w:divBdr>
                      <w:divsChild>
                        <w:div w:id="1838811315">
                          <w:marLeft w:val="0"/>
                          <w:marRight w:val="0"/>
                          <w:marTop w:val="0"/>
                          <w:marBottom w:val="0"/>
                          <w:divBdr>
                            <w:top w:val="none" w:sz="0" w:space="0" w:color="auto"/>
                            <w:left w:val="none" w:sz="0" w:space="0" w:color="auto"/>
                            <w:bottom w:val="none" w:sz="0" w:space="0" w:color="auto"/>
                            <w:right w:val="none" w:sz="0" w:space="0" w:color="auto"/>
                          </w:divBdr>
                          <w:divsChild>
                            <w:div w:id="56781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1885563">
              <w:marLeft w:val="0"/>
              <w:marRight w:val="0"/>
              <w:marTop w:val="0"/>
              <w:marBottom w:val="0"/>
              <w:divBdr>
                <w:top w:val="none" w:sz="0" w:space="0" w:color="auto"/>
                <w:left w:val="none" w:sz="0" w:space="0" w:color="auto"/>
                <w:bottom w:val="none" w:sz="0" w:space="0" w:color="auto"/>
                <w:right w:val="none" w:sz="0" w:space="0" w:color="auto"/>
              </w:divBdr>
              <w:divsChild>
                <w:div w:id="1766996479">
                  <w:marLeft w:val="0"/>
                  <w:marRight w:val="0"/>
                  <w:marTop w:val="0"/>
                  <w:marBottom w:val="0"/>
                  <w:divBdr>
                    <w:top w:val="none" w:sz="0" w:space="0" w:color="auto"/>
                    <w:left w:val="none" w:sz="0" w:space="0" w:color="auto"/>
                    <w:bottom w:val="none" w:sz="0" w:space="0" w:color="auto"/>
                    <w:right w:val="none" w:sz="0" w:space="0" w:color="auto"/>
                  </w:divBdr>
                </w:div>
                <w:div w:id="118497288">
                  <w:marLeft w:val="0"/>
                  <w:marRight w:val="0"/>
                  <w:marTop w:val="0"/>
                  <w:marBottom w:val="0"/>
                  <w:divBdr>
                    <w:top w:val="none" w:sz="0" w:space="0" w:color="auto"/>
                    <w:left w:val="none" w:sz="0" w:space="0" w:color="auto"/>
                    <w:bottom w:val="none" w:sz="0" w:space="0" w:color="auto"/>
                    <w:right w:val="none" w:sz="0" w:space="0" w:color="auto"/>
                  </w:divBdr>
                </w:div>
                <w:div w:id="1609779389">
                  <w:marLeft w:val="0"/>
                  <w:marRight w:val="0"/>
                  <w:marTop w:val="0"/>
                  <w:marBottom w:val="0"/>
                  <w:divBdr>
                    <w:top w:val="none" w:sz="0" w:space="0" w:color="auto"/>
                    <w:left w:val="none" w:sz="0" w:space="0" w:color="auto"/>
                    <w:bottom w:val="none" w:sz="0" w:space="0" w:color="auto"/>
                    <w:right w:val="none" w:sz="0" w:space="0" w:color="auto"/>
                  </w:divBdr>
                </w:div>
              </w:divsChild>
            </w:div>
            <w:div w:id="42946518">
              <w:marLeft w:val="0"/>
              <w:marRight w:val="0"/>
              <w:marTop w:val="0"/>
              <w:marBottom w:val="0"/>
              <w:divBdr>
                <w:top w:val="none" w:sz="0" w:space="0" w:color="auto"/>
                <w:left w:val="none" w:sz="0" w:space="0" w:color="auto"/>
                <w:bottom w:val="none" w:sz="0" w:space="0" w:color="auto"/>
                <w:right w:val="none" w:sz="0" w:space="0" w:color="auto"/>
              </w:divBdr>
              <w:divsChild>
                <w:div w:id="583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409">
          <w:marLeft w:val="0"/>
          <w:marRight w:val="0"/>
          <w:marTop w:val="0"/>
          <w:marBottom w:val="0"/>
          <w:divBdr>
            <w:top w:val="none" w:sz="0" w:space="0" w:color="auto"/>
            <w:left w:val="single" w:sz="6" w:space="0" w:color="CCCCCC"/>
            <w:bottom w:val="none" w:sz="0" w:space="0" w:color="auto"/>
            <w:right w:val="none" w:sz="0" w:space="0" w:color="auto"/>
          </w:divBdr>
          <w:divsChild>
            <w:div w:id="289015593">
              <w:marLeft w:val="0"/>
              <w:marRight w:val="0"/>
              <w:marTop w:val="0"/>
              <w:marBottom w:val="0"/>
              <w:divBdr>
                <w:top w:val="none" w:sz="0" w:space="0" w:color="auto"/>
                <w:left w:val="none" w:sz="0" w:space="0" w:color="auto"/>
                <w:bottom w:val="single" w:sz="6" w:space="4" w:color="CCCCCC"/>
                <w:right w:val="none" w:sz="0" w:space="0" w:color="auto"/>
              </w:divBdr>
              <w:divsChild>
                <w:div w:id="521826476">
                  <w:marLeft w:val="0"/>
                  <w:marRight w:val="0"/>
                  <w:marTop w:val="0"/>
                  <w:marBottom w:val="0"/>
                  <w:divBdr>
                    <w:top w:val="none" w:sz="0" w:space="0" w:color="auto"/>
                    <w:left w:val="none" w:sz="0" w:space="0" w:color="auto"/>
                    <w:bottom w:val="none" w:sz="0" w:space="0" w:color="auto"/>
                    <w:right w:val="none" w:sz="0" w:space="0" w:color="auto"/>
                  </w:divBdr>
                </w:div>
              </w:divsChild>
            </w:div>
            <w:div w:id="829521594">
              <w:marLeft w:val="0"/>
              <w:marRight w:val="0"/>
              <w:marTop w:val="0"/>
              <w:marBottom w:val="135"/>
              <w:divBdr>
                <w:top w:val="none" w:sz="0" w:space="0" w:color="auto"/>
                <w:left w:val="none" w:sz="0" w:space="0" w:color="auto"/>
                <w:bottom w:val="none" w:sz="0" w:space="0" w:color="auto"/>
                <w:right w:val="none" w:sz="0" w:space="0" w:color="auto"/>
              </w:divBdr>
            </w:div>
            <w:div w:id="1713773368">
              <w:marLeft w:val="0"/>
              <w:marRight w:val="0"/>
              <w:marTop w:val="0"/>
              <w:marBottom w:val="135"/>
              <w:divBdr>
                <w:top w:val="none" w:sz="0" w:space="0" w:color="auto"/>
                <w:left w:val="none" w:sz="0" w:space="0" w:color="auto"/>
                <w:bottom w:val="none" w:sz="0" w:space="0" w:color="auto"/>
                <w:right w:val="none" w:sz="0" w:space="0" w:color="auto"/>
              </w:divBdr>
            </w:div>
            <w:div w:id="284967288">
              <w:marLeft w:val="0"/>
              <w:marRight w:val="0"/>
              <w:marTop w:val="0"/>
              <w:marBottom w:val="135"/>
              <w:divBdr>
                <w:top w:val="none" w:sz="0" w:space="0" w:color="auto"/>
                <w:left w:val="none" w:sz="0" w:space="0" w:color="auto"/>
                <w:bottom w:val="none" w:sz="0" w:space="0" w:color="auto"/>
                <w:right w:val="none" w:sz="0" w:space="0" w:color="auto"/>
              </w:divBdr>
            </w:div>
            <w:div w:id="10086030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4871853">
      <w:bodyDiv w:val="1"/>
      <w:marLeft w:val="0"/>
      <w:marRight w:val="0"/>
      <w:marTop w:val="0"/>
      <w:marBottom w:val="0"/>
      <w:divBdr>
        <w:top w:val="none" w:sz="0" w:space="0" w:color="auto"/>
        <w:left w:val="none" w:sz="0" w:space="0" w:color="auto"/>
        <w:bottom w:val="none" w:sz="0" w:space="0" w:color="auto"/>
        <w:right w:val="none" w:sz="0" w:space="0" w:color="auto"/>
      </w:divBdr>
      <w:divsChild>
        <w:div w:id="1281952366">
          <w:marLeft w:val="0"/>
          <w:marRight w:val="0"/>
          <w:marTop w:val="0"/>
          <w:marBottom w:val="0"/>
          <w:divBdr>
            <w:top w:val="none" w:sz="0" w:space="0" w:color="auto"/>
            <w:left w:val="none" w:sz="0" w:space="0" w:color="auto"/>
            <w:bottom w:val="none" w:sz="0" w:space="0" w:color="auto"/>
            <w:right w:val="none" w:sz="0" w:space="0" w:color="auto"/>
          </w:divBdr>
          <w:divsChild>
            <w:div w:id="1563953041">
              <w:marLeft w:val="0"/>
              <w:marRight w:val="0"/>
              <w:marTop w:val="0"/>
              <w:marBottom w:val="0"/>
              <w:divBdr>
                <w:top w:val="none" w:sz="0" w:space="0" w:color="auto"/>
                <w:left w:val="none" w:sz="0" w:space="0" w:color="auto"/>
                <w:bottom w:val="none" w:sz="0" w:space="0" w:color="auto"/>
                <w:right w:val="none" w:sz="0" w:space="0" w:color="auto"/>
              </w:divBdr>
              <w:divsChild>
                <w:div w:id="1918244034">
                  <w:marLeft w:val="0"/>
                  <w:marRight w:val="0"/>
                  <w:marTop w:val="0"/>
                  <w:marBottom w:val="0"/>
                  <w:divBdr>
                    <w:top w:val="none" w:sz="0" w:space="0" w:color="auto"/>
                    <w:left w:val="none" w:sz="0" w:space="0" w:color="auto"/>
                    <w:bottom w:val="none" w:sz="0" w:space="0" w:color="auto"/>
                    <w:right w:val="none" w:sz="0" w:space="0" w:color="auto"/>
                  </w:divBdr>
                  <w:divsChild>
                    <w:div w:id="87971162">
                      <w:marLeft w:val="0"/>
                      <w:marRight w:val="0"/>
                      <w:marTop w:val="0"/>
                      <w:marBottom w:val="0"/>
                      <w:divBdr>
                        <w:top w:val="none" w:sz="0" w:space="0" w:color="auto"/>
                        <w:left w:val="none" w:sz="0" w:space="0" w:color="auto"/>
                        <w:bottom w:val="none" w:sz="0" w:space="0" w:color="auto"/>
                        <w:right w:val="none" w:sz="0" w:space="0" w:color="auto"/>
                      </w:divBdr>
                      <w:divsChild>
                        <w:div w:id="1236010058">
                          <w:marLeft w:val="0"/>
                          <w:marRight w:val="0"/>
                          <w:marTop w:val="0"/>
                          <w:marBottom w:val="0"/>
                          <w:divBdr>
                            <w:top w:val="none" w:sz="0" w:space="0" w:color="auto"/>
                            <w:left w:val="none" w:sz="0" w:space="0" w:color="auto"/>
                            <w:bottom w:val="none" w:sz="0" w:space="0" w:color="auto"/>
                            <w:right w:val="none" w:sz="0" w:space="0" w:color="auto"/>
                          </w:divBdr>
                          <w:divsChild>
                            <w:div w:id="70280047">
                              <w:marLeft w:val="0"/>
                              <w:marRight w:val="0"/>
                              <w:marTop w:val="0"/>
                              <w:marBottom w:val="0"/>
                              <w:divBdr>
                                <w:top w:val="none" w:sz="0" w:space="0" w:color="auto"/>
                                <w:left w:val="none" w:sz="0" w:space="0" w:color="auto"/>
                                <w:bottom w:val="none" w:sz="0" w:space="0" w:color="auto"/>
                                <w:right w:val="none" w:sz="0" w:space="0" w:color="auto"/>
                              </w:divBdr>
                              <w:divsChild>
                                <w:div w:id="2057193971">
                                  <w:marLeft w:val="0"/>
                                  <w:marRight w:val="0"/>
                                  <w:marTop w:val="0"/>
                                  <w:marBottom w:val="0"/>
                                  <w:divBdr>
                                    <w:top w:val="none" w:sz="0" w:space="0" w:color="auto"/>
                                    <w:left w:val="none" w:sz="0" w:space="0" w:color="auto"/>
                                    <w:bottom w:val="none" w:sz="0" w:space="0" w:color="auto"/>
                                    <w:right w:val="none" w:sz="0" w:space="0" w:color="auto"/>
                                  </w:divBdr>
                                  <w:divsChild>
                                    <w:div w:id="1990209305">
                                      <w:marLeft w:val="0"/>
                                      <w:marRight w:val="0"/>
                                      <w:marTop w:val="0"/>
                                      <w:marBottom w:val="0"/>
                                      <w:divBdr>
                                        <w:top w:val="none" w:sz="0" w:space="0" w:color="auto"/>
                                        <w:left w:val="none" w:sz="0" w:space="0" w:color="auto"/>
                                        <w:bottom w:val="none" w:sz="0" w:space="0" w:color="auto"/>
                                        <w:right w:val="none" w:sz="0" w:space="0" w:color="auto"/>
                                      </w:divBdr>
                                      <w:divsChild>
                                        <w:div w:id="1009334032">
                                          <w:marLeft w:val="0"/>
                                          <w:marRight w:val="0"/>
                                          <w:marTop w:val="0"/>
                                          <w:marBottom w:val="0"/>
                                          <w:divBdr>
                                            <w:top w:val="none" w:sz="0" w:space="0" w:color="auto"/>
                                            <w:left w:val="none" w:sz="0" w:space="0" w:color="auto"/>
                                            <w:bottom w:val="none" w:sz="0" w:space="0" w:color="auto"/>
                                            <w:right w:val="none" w:sz="0" w:space="0" w:color="auto"/>
                                          </w:divBdr>
                                          <w:divsChild>
                                            <w:div w:id="3303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14852">
      <w:bodyDiv w:val="1"/>
      <w:marLeft w:val="0"/>
      <w:marRight w:val="0"/>
      <w:marTop w:val="0"/>
      <w:marBottom w:val="0"/>
      <w:divBdr>
        <w:top w:val="none" w:sz="0" w:space="0" w:color="auto"/>
        <w:left w:val="none" w:sz="0" w:space="0" w:color="auto"/>
        <w:bottom w:val="none" w:sz="0" w:space="0" w:color="auto"/>
        <w:right w:val="none" w:sz="0" w:space="0" w:color="auto"/>
      </w:divBdr>
    </w:div>
    <w:div w:id="643972700">
      <w:bodyDiv w:val="1"/>
      <w:marLeft w:val="0"/>
      <w:marRight w:val="0"/>
      <w:marTop w:val="0"/>
      <w:marBottom w:val="0"/>
      <w:divBdr>
        <w:top w:val="none" w:sz="0" w:space="0" w:color="auto"/>
        <w:left w:val="none" w:sz="0" w:space="0" w:color="auto"/>
        <w:bottom w:val="none" w:sz="0" w:space="0" w:color="auto"/>
        <w:right w:val="none" w:sz="0" w:space="0" w:color="auto"/>
      </w:divBdr>
      <w:divsChild>
        <w:div w:id="814950500">
          <w:marLeft w:val="0"/>
          <w:marRight w:val="0"/>
          <w:marTop w:val="0"/>
          <w:marBottom w:val="0"/>
          <w:divBdr>
            <w:top w:val="none" w:sz="0" w:space="0" w:color="auto"/>
            <w:left w:val="none" w:sz="0" w:space="0" w:color="auto"/>
            <w:bottom w:val="none" w:sz="0" w:space="0" w:color="auto"/>
            <w:right w:val="none" w:sz="0" w:space="0" w:color="auto"/>
          </w:divBdr>
          <w:divsChild>
            <w:div w:id="1559978469">
              <w:marLeft w:val="0"/>
              <w:marRight w:val="0"/>
              <w:marTop w:val="0"/>
              <w:marBottom w:val="0"/>
              <w:divBdr>
                <w:top w:val="none" w:sz="0" w:space="0" w:color="auto"/>
                <w:left w:val="none" w:sz="0" w:space="0" w:color="auto"/>
                <w:bottom w:val="none" w:sz="0" w:space="0" w:color="auto"/>
                <w:right w:val="none" w:sz="0" w:space="0" w:color="auto"/>
              </w:divBdr>
              <w:divsChild>
                <w:div w:id="2095079253">
                  <w:marLeft w:val="0"/>
                  <w:marRight w:val="0"/>
                  <w:marTop w:val="0"/>
                  <w:marBottom w:val="0"/>
                  <w:divBdr>
                    <w:top w:val="none" w:sz="0" w:space="0" w:color="auto"/>
                    <w:left w:val="none" w:sz="0" w:space="0" w:color="auto"/>
                    <w:bottom w:val="none" w:sz="0" w:space="0" w:color="auto"/>
                    <w:right w:val="none" w:sz="0" w:space="0" w:color="auto"/>
                  </w:divBdr>
                  <w:divsChild>
                    <w:div w:id="982737320">
                      <w:marLeft w:val="0"/>
                      <w:marRight w:val="0"/>
                      <w:marTop w:val="0"/>
                      <w:marBottom w:val="0"/>
                      <w:divBdr>
                        <w:top w:val="none" w:sz="0" w:space="0" w:color="auto"/>
                        <w:left w:val="none" w:sz="0" w:space="0" w:color="auto"/>
                        <w:bottom w:val="none" w:sz="0" w:space="0" w:color="auto"/>
                        <w:right w:val="none" w:sz="0" w:space="0" w:color="auto"/>
                      </w:divBdr>
                      <w:divsChild>
                        <w:div w:id="1505513245">
                          <w:marLeft w:val="0"/>
                          <w:marRight w:val="0"/>
                          <w:marTop w:val="0"/>
                          <w:marBottom w:val="0"/>
                          <w:divBdr>
                            <w:top w:val="none" w:sz="0" w:space="0" w:color="auto"/>
                            <w:left w:val="none" w:sz="0" w:space="0" w:color="auto"/>
                            <w:bottom w:val="none" w:sz="0" w:space="0" w:color="auto"/>
                            <w:right w:val="none" w:sz="0" w:space="0" w:color="auto"/>
                          </w:divBdr>
                          <w:divsChild>
                            <w:div w:id="1300721794">
                              <w:marLeft w:val="0"/>
                              <w:marRight w:val="0"/>
                              <w:marTop w:val="0"/>
                              <w:marBottom w:val="0"/>
                              <w:divBdr>
                                <w:top w:val="none" w:sz="0" w:space="0" w:color="auto"/>
                                <w:left w:val="none" w:sz="0" w:space="0" w:color="auto"/>
                                <w:bottom w:val="none" w:sz="0" w:space="0" w:color="auto"/>
                                <w:right w:val="none" w:sz="0" w:space="0" w:color="auto"/>
                              </w:divBdr>
                              <w:divsChild>
                                <w:div w:id="920915761">
                                  <w:marLeft w:val="0"/>
                                  <w:marRight w:val="0"/>
                                  <w:marTop w:val="0"/>
                                  <w:marBottom w:val="0"/>
                                  <w:divBdr>
                                    <w:top w:val="none" w:sz="0" w:space="0" w:color="auto"/>
                                    <w:left w:val="none" w:sz="0" w:space="0" w:color="auto"/>
                                    <w:bottom w:val="none" w:sz="0" w:space="0" w:color="auto"/>
                                    <w:right w:val="none" w:sz="0" w:space="0" w:color="auto"/>
                                  </w:divBdr>
                                  <w:divsChild>
                                    <w:div w:id="1424255285">
                                      <w:marLeft w:val="0"/>
                                      <w:marRight w:val="0"/>
                                      <w:marTop w:val="0"/>
                                      <w:marBottom w:val="0"/>
                                      <w:divBdr>
                                        <w:top w:val="none" w:sz="0" w:space="0" w:color="auto"/>
                                        <w:left w:val="none" w:sz="0" w:space="0" w:color="auto"/>
                                        <w:bottom w:val="none" w:sz="0" w:space="0" w:color="auto"/>
                                        <w:right w:val="none" w:sz="0" w:space="0" w:color="auto"/>
                                      </w:divBdr>
                                      <w:divsChild>
                                        <w:div w:id="540241880">
                                          <w:marLeft w:val="0"/>
                                          <w:marRight w:val="0"/>
                                          <w:marTop w:val="0"/>
                                          <w:marBottom w:val="0"/>
                                          <w:divBdr>
                                            <w:top w:val="none" w:sz="0" w:space="0" w:color="auto"/>
                                            <w:left w:val="none" w:sz="0" w:space="0" w:color="auto"/>
                                            <w:bottom w:val="none" w:sz="0" w:space="0" w:color="auto"/>
                                            <w:right w:val="none" w:sz="0" w:space="0" w:color="auto"/>
                                          </w:divBdr>
                                          <w:divsChild>
                                            <w:div w:id="2097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014723">
      <w:bodyDiv w:val="1"/>
      <w:marLeft w:val="0"/>
      <w:marRight w:val="0"/>
      <w:marTop w:val="0"/>
      <w:marBottom w:val="0"/>
      <w:divBdr>
        <w:top w:val="none" w:sz="0" w:space="0" w:color="auto"/>
        <w:left w:val="none" w:sz="0" w:space="0" w:color="auto"/>
        <w:bottom w:val="none" w:sz="0" w:space="0" w:color="auto"/>
        <w:right w:val="none" w:sz="0" w:space="0" w:color="auto"/>
      </w:divBdr>
      <w:divsChild>
        <w:div w:id="1385563301">
          <w:marLeft w:val="0"/>
          <w:marRight w:val="0"/>
          <w:marTop w:val="0"/>
          <w:marBottom w:val="0"/>
          <w:divBdr>
            <w:top w:val="none" w:sz="0" w:space="0" w:color="auto"/>
            <w:left w:val="none" w:sz="0" w:space="0" w:color="auto"/>
            <w:bottom w:val="none" w:sz="0" w:space="0" w:color="auto"/>
            <w:right w:val="none" w:sz="0" w:space="0" w:color="auto"/>
          </w:divBdr>
          <w:divsChild>
            <w:div w:id="2120442355">
              <w:marLeft w:val="0"/>
              <w:marRight w:val="0"/>
              <w:marTop w:val="0"/>
              <w:marBottom w:val="0"/>
              <w:divBdr>
                <w:top w:val="none" w:sz="0" w:space="0" w:color="auto"/>
                <w:left w:val="none" w:sz="0" w:space="0" w:color="auto"/>
                <w:bottom w:val="none" w:sz="0" w:space="0" w:color="auto"/>
                <w:right w:val="none" w:sz="0" w:space="0" w:color="auto"/>
              </w:divBdr>
              <w:divsChild>
                <w:div w:id="1669289236">
                  <w:marLeft w:val="0"/>
                  <w:marRight w:val="0"/>
                  <w:marTop w:val="0"/>
                  <w:marBottom w:val="0"/>
                  <w:divBdr>
                    <w:top w:val="none" w:sz="0" w:space="0" w:color="auto"/>
                    <w:left w:val="none" w:sz="0" w:space="0" w:color="auto"/>
                    <w:bottom w:val="none" w:sz="0" w:space="0" w:color="auto"/>
                    <w:right w:val="none" w:sz="0" w:space="0" w:color="auto"/>
                  </w:divBdr>
                  <w:divsChild>
                    <w:div w:id="1683970914">
                      <w:marLeft w:val="0"/>
                      <w:marRight w:val="0"/>
                      <w:marTop w:val="0"/>
                      <w:marBottom w:val="0"/>
                      <w:divBdr>
                        <w:top w:val="single" w:sz="6" w:space="0" w:color="DDDDDD"/>
                        <w:left w:val="single" w:sz="6" w:space="0" w:color="DDDDDD"/>
                        <w:bottom w:val="single" w:sz="6" w:space="0" w:color="CCCCCC"/>
                        <w:right w:val="single" w:sz="6" w:space="0" w:color="DDDDDD"/>
                      </w:divBdr>
                      <w:divsChild>
                        <w:div w:id="1476798876">
                          <w:marLeft w:val="0"/>
                          <w:marRight w:val="0"/>
                          <w:marTop w:val="0"/>
                          <w:marBottom w:val="0"/>
                          <w:divBdr>
                            <w:top w:val="none" w:sz="0" w:space="0" w:color="auto"/>
                            <w:left w:val="none" w:sz="0" w:space="0" w:color="auto"/>
                            <w:bottom w:val="none" w:sz="0" w:space="0" w:color="auto"/>
                            <w:right w:val="none" w:sz="0" w:space="0" w:color="auto"/>
                          </w:divBdr>
                          <w:divsChild>
                            <w:div w:id="1520506714">
                              <w:marLeft w:val="0"/>
                              <w:marRight w:val="0"/>
                              <w:marTop w:val="0"/>
                              <w:marBottom w:val="0"/>
                              <w:divBdr>
                                <w:top w:val="none" w:sz="0" w:space="0" w:color="auto"/>
                                <w:left w:val="none" w:sz="0" w:space="0" w:color="auto"/>
                                <w:bottom w:val="none" w:sz="0" w:space="0" w:color="auto"/>
                                <w:right w:val="none" w:sz="0" w:space="0" w:color="auto"/>
                              </w:divBdr>
                              <w:divsChild>
                                <w:div w:id="220024553">
                                  <w:marLeft w:val="0"/>
                                  <w:marRight w:val="0"/>
                                  <w:marTop w:val="0"/>
                                  <w:marBottom w:val="0"/>
                                  <w:divBdr>
                                    <w:top w:val="none" w:sz="0" w:space="0" w:color="auto"/>
                                    <w:left w:val="none" w:sz="0" w:space="0" w:color="auto"/>
                                    <w:bottom w:val="none" w:sz="0" w:space="0" w:color="auto"/>
                                    <w:right w:val="none" w:sz="0" w:space="0" w:color="auto"/>
                                  </w:divBdr>
                                  <w:divsChild>
                                    <w:div w:id="179319335">
                                      <w:marLeft w:val="0"/>
                                      <w:marRight w:val="0"/>
                                      <w:marTop w:val="0"/>
                                      <w:marBottom w:val="0"/>
                                      <w:divBdr>
                                        <w:top w:val="none" w:sz="0" w:space="0" w:color="auto"/>
                                        <w:left w:val="none" w:sz="0" w:space="0" w:color="auto"/>
                                        <w:bottom w:val="none" w:sz="0" w:space="0" w:color="auto"/>
                                        <w:right w:val="none" w:sz="0" w:space="0" w:color="auto"/>
                                      </w:divBdr>
                                      <w:divsChild>
                                        <w:div w:id="1099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3412">
      <w:bodyDiv w:val="1"/>
      <w:marLeft w:val="0"/>
      <w:marRight w:val="0"/>
      <w:marTop w:val="0"/>
      <w:marBottom w:val="0"/>
      <w:divBdr>
        <w:top w:val="none" w:sz="0" w:space="0" w:color="auto"/>
        <w:left w:val="none" w:sz="0" w:space="0" w:color="auto"/>
        <w:bottom w:val="none" w:sz="0" w:space="0" w:color="auto"/>
        <w:right w:val="none" w:sz="0" w:space="0" w:color="auto"/>
      </w:divBdr>
      <w:divsChild>
        <w:div w:id="682904546">
          <w:marLeft w:val="0"/>
          <w:marRight w:val="0"/>
          <w:marTop w:val="0"/>
          <w:marBottom w:val="0"/>
          <w:divBdr>
            <w:top w:val="none" w:sz="0" w:space="0" w:color="auto"/>
            <w:left w:val="none" w:sz="0" w:space="0" w:color="auto"/>
            <w:bottom w:val="none" w:sz="0" w:space="0" w:color="auto"/>
            <w:right w:val="none" w:sz="0" w:space="0" w:color="auto"/>
          </w:divBdr>
          <w:divsChild>
            <w:div w:id="788622628">
              <w:marLeft w:val="0"/>
              <w:marRight w:val="0"/>
              <w:marTop w:val="0"/>
              <w:marBottom w:val="0"/>
              <w:divBdr>
                <w:top w:val="none" w:sz="0" w:space="0" w:color="auto"/>
                <w:left w:val="none" w:sz="0" w:space="0" w:color="auto"/>
                <w:bottom w:val="none" w:sz="0" w:space="0" w:color="auto"/>
                <w:right w:val="none" w:sz="0" w:space="0" w:color="auto"/>
              </w:divBdr>
              <w:divsChild>
                <w:div w:id="1952664092">
                  <w:marLeft w:val="0"/>
                  <w:marRight w:val="0"/>
                  <w:marTop w:val="0"/>
                  <w:marBottom w:val="0"/>
                  <w:divBdr>
                    <w:top w:val="none" w:sz="0" w:space="0" w:color="auto"/>
                    <w:left w:val="none" w:sz="0" w:space="0" w:color="auto"/>
                    <w:bottom w:val="none" w:sz="0" w:space="0" w:color="auto"/>
                    <w:right w:val="none" w:sz="0" w:space="0" w:color="auto"/>
                  </w:divBdr>
                  <w:divsChild>
                    <w:div w:id="1869248670">
                      <w:marLeft w:val="0"/>
                      <w:marRight w:val="0"/>
                      <w:marTop w:val="0"/>
                      <w:marBottom w:val="0"/>
                      <w:divBdr>
                        <w:top w:val="none" w:sz="0" w:space="0" w:color="auto"/>
                        <w:left w:val="none" w:sz="0" w:space="0" w:color="auto"/>
                        <w:bottom w:val="none" w:sz="0" w:space="0" w:color="auto"/>
                        <w:right w:val="none" w:sz="0" w:space="0" w:color="auto"/>
                      </w:divBdr>
                      <w:divsChild>
                        <w:div w:id="1032413978">
                          <w:marLeft w:val="0"/>
                          <w:marRight w:val="0"/>
                          <w:marTop w:val="0"/>
                          <w:marBottom w:val="0"/>
                          <w:divBdr>
                            <w:top w:val="none" w:sz="0" w:space="0" w:color="auto"/>
                            <w:left w:val="none" w:sz="0" w:space="0" w:color="auto"/>
                            <w:bottom w:val="none" w:sz="0" w:space="0" w:color="auto"/>
                            <w:right w:val="none" w:sz="0" w:space="0" w:color="auto"/>
                          </w:divBdr>
                          <w:divsChild>
                            <w:div w:id="1301576721">
                              <w:marLeft w:val="0"/>
                              <w:marRight w:val="0"/>
                              <w:marTop w:val="0"/>
                              <w:marBottom w:val="0"/>
                              <w:divBdr>
                                <w:top w:val="none" w:sz="0" w:space="0" w:color="auto"/>
                                <w:left w:val="none" w:sz="0" w:space="0" w:color="auto"/>
                                <w:bottom w:val="none" w:sz="0" w:space="0" w:color="auto"/>
                                <w:right w:val="none" w:sz="0" w:space="0" w:color="auto"/>
                              </w:divBdr>
                              <w:divsChild>
                                <w:div w:id="1715231482">
                                  <w:marLeft w:val="0"/>
                                  <w:marRight w:val="0"/>
                                  <w:marTop w:val="0"/>
                                  <w:marBottom w:val="0"/>
                                  <w:divBdr>
                                    <w:top w:val="none" w:sz="0" w:space="0" w:color="auto"/>
                                    <w:left w:val="none" w:sz="0" w:space="0" w:color="auto"/>
                                    <w:bottom w:val="none" w:sz="0" w:space="0" w:color="auto"/>
                                    <w:right w:val="none" w:sz="0" w:space="0" w:color="auto"/>
                                  </w:divBdr>
                                  <w:divsChild>
                                    <w:div w:id="818039796">
                                      <w:marLeft w:val="0"/>
                                      <w:marRight w:val="0"/>
                                      <w:marTop w:val="0"/>
                                      <w:marBottom w:val="0"/>
                                      <w:divBdr>
                                        <w:top w:val="none" w:sz="0" w:space="0" w:color="auto"/>
                                        <w:left w:val="none" w:sz="0" w:space="0" w:color="auto"/>
                                        <w:bottom w:val="none" w:sz="0" w:space="0" w:color="auto"/>
                                        <w:right w:val="none" w:sz="0" w:space="0" w:color="auto"/>
                                      </w:divBdr>
                                      <w:divsChild>
                                        <w:div w:id="866597823">
                                          <w:marLeft w:val="0"/>
                                          <w:marRight w:val="0"/>
                                          <w:marTop w:val="0"/>
                                          <w:marBottom w:val="0"/>
                                          <w:divBdr>
                                            <w:top w:val="none" w:sz="0" w:space="0" w:color="auto"/>
                                            <w:left w:val="none" w:sz="0" w:space="0" w:color="auto"/>
                                            <w:bottom w:val="none" w:sz="0" w:space="0" w:color="auto"/>
                                            <w:right w:val="none" w:sz="0" w:space="0" w:color="auto"/>
                                          </w:divBdr>
                                          <w:divsChild>
                                            <w:div w:id="2103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007127">
      <w:marLeft w:val="0"/>
      <w:marRight w:val="0"/>
      <w:marTop w:val="0"/>
      <w:marBottom w:val="0"/>
      <w:divBdr>
        <w:top w:val="none" w:sz="0" w:space="0" w:color="auto"/>
        <w:left w:val="none" w:sz="0" w:space="0" w:color="auto"/>
        <w:bottom w:val="none" w:sz="0" w:space="0" w:color="auto"/>
        <w:right w:val="none" w:sz="0" w:space="0" w:color="auto"/>
      </w:divBdr>
    </w:div>
    <w:div w:id="1001733736">
      <w:bodyDiv w:val="1"/>
      <w:marLeft w:val="0"/>
      <w:marRight w:val="0"/>
      <w:marTop w:val="0"/>
      <w:marBottom w:val="0"/>
      <w:divBdr>
        <w:top w:val="none" w:sz="0" w:space="0" w:color="auto"/>
        <w:left w:val="none" w:sz="0" w:space="0" w:color="auto"/>
        <w:bottom w:val="none" w:sz="0" w:space="0" w:color="auto"/>
        <w:right w:val="none" w:sz="0" w:space="0" w:color="auto"/>
      </w:divBdr>
    </w:div>
    <w:div w:id="1042827357">
      <w:bodyDiv w:val="1"/>
      <w:marLeft w:val="0"/>
      <w:marRight w:val="0"/>
      <w:marTop w:val="0"/>
      <w:marBottom w:val="0"/>
      <w:divBdr>
        <w:top w:val="none" w:sz="0" w:space="0" w:color="auto"/>
        <w:left w:val="none" w:sz="0" w:space="0" w:color="auto"/>
        <w:bottom w:val="none" w:sz="0" w:space="0" w:color="auto"/>
        <w:right w:val="none" w:sz="0" w:space="0" w:color="auto"/>
      </w:divBdr>
    </w:div>
    <w:div w:id="1100636518">
      <w:marLeft w:val="0"/>
      <w:marRight w:val="0"/>
      <w:marTop w:val="0"/>
      <w:marBottom w:val="0"/>
      <w:divBdr>
        <w:top w:val="none" w:sz="0" w:space="0" w:color="auto"/>
        <w:left w:val="none" w:sz="0" w:space="0" w:color="auto"/>
        <w:bottom w:val="none" w:sz="0" w:space="0" w:color="auto"/>
        <w:right w:val="none" w:sz="0" w:space="0" w:color="auto"/>
      </w:divBdr>
      <w:divsChild>
        <w:div w:id="1174106337">
          <w:marLeft w:val="930"/>
          <w:marRight w:val="0"/>
          <w:marTop w:val="0"/>
          <w:marBottom w:val="0"/>
          <w:divBdr>
            <w:top w:val="none" w:sz="0" w:space="0" w:color="auto"/>
            <w:left w:val="none" w:sz="0" w:space="0" w:color="auto"/>
            <w:bottom w:val="single" w:sz="6" w:space="0" w:color="71C4FF"/>
            <w:right w:val="none" w:sz="0" w:space="0" w:color="auto"/>
          </w:divBdr>
          <w:divsChild>
            <w:div w:id="1058820861">
              <w:marLeft w:val="0"/>
              <w:marRight w:val="0"/>
              <w:marTop w:val="0"/>
              <w:marBottom w:val="0"/>
              <w:divBdr>
                <w:top w:val="none" w:sz="0" w:space="0" w:color="auto"/>
                <w:left w:val="none" w:sz="0" w:space="0" w:color="auto"/>
                <w:bottom w:val="none" w:sz="0" w:space="0" w:color="auto"/>
                <w:right w:val="none" w:sz="0" w:space="0" w:color="auto"/>
              </w:divBdr>
            </w:div>
          </w:divsChild>
        </w:div>
        <w:div w:id="1448507699">
          <w:marLeft w:val="0"/>
          <w:marRight w:val="0"/>
          <w:marTop w:val="0"/>
          <w:marBottom w:val="0"/>
          <w:divBdr>
            <w:top w:val="none" w:sz="0" w:space="0" w:color="auto"/>
            <w:left w:val="none" w:sz="0" w:space="0" w:color="auto"/>
            <w:bottom w:val="none" w:sz="0" w:space="0" w:color="auto"/>
            <w:right w:val="none" w:sz="0" w:space="0" w:color="auto"/>
          </w:divBdr>
        </w:div>
      </w:divsChild>
    </w:div>
    <w:div w:id="1242061293">
      <w:bodyDiv w:val="1"/>
      <w:marLeft w:val="0"/>
      <w:marRight w:val="0"/>
      <w:marTop w:val="0"/>
      <w:marBottom w:val="0"/>
      <w:divBdr>
        <w:top w:val="none" w:sz="0" w:space="0" w:color="auto"/>
        <w:left w:val="none" w:sz="0" w:space="0" w:color="auto"/>
        <w:bottom w:val="none" w:sz="0" w:space="0" w:color="auto"/>
        <w:right w:val="none" w:sz="0" w:space="0" w:color="auto"/>
      </w:divBdr>
      <w:divsChild>
        <w:div w:id="969633598">
          <w:marLeft w:val="0"/>
          <w:marRight w:val="0"/>
          <w:marTop w:val="0"/>
          <w:marBottom w:val="0"/>
          <w:divBdr>
            <w:top w:val="none" w:sz="0" w:space="0" w:color="auto"/>
            <w:left w:val="none" w:sz="0" w:space="0" w:color="auto"/>
            <w:bottom w:val="none" w:sz="0" w:space="0" w:color="auto"/>
            <w:right w:val="none" w:sz="0" w:space="0" w:color="auto"/>
          </w:divBdr>
          <w:divsChild>
            <w:div w:id="1744832134">
              <w:marLeft w:val="0"/>
              <w:marRight w:val="0"/>
              <w:marTop w:val="0"/>
              <w:marBottom w:val="0"/>
              <w:divBdr>
                <w:top w:val="none" w:sz="0" w:space="0" w:color="auto"/>
                <w:left w:val="none" w:sz="0" w:space="0" w:color="auto"/>
                <w:bottom w:val="none" w:sz="0" w:space="0" w:color="auto"/>
                <w:right w:val="none" w:sz="0" w:space="0" w:color="auto"/>
              </w:divBdr>
              <w:divsChild>
                <w:div w:id="1341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4811">
      <w:bodyDiv w:val="1"/>
      <w:marLeft w:val="0"/>
      <w:marRight w:val="0"/>
      <w:marTop w:val="0"/>
      <w:marBottom w:val="0"/>
      <w:divBdr>
        <w:top w:val="none" w:sz="0" w:space="0" w:color="auto"/>
        <w:left w:val="none" w:sz="0" w:space="0" w:color="auto"/>
        <w:bottom w:val="none" w:sz="0" w:space="0" w:color="auto"/>
        <w:right w:val="none" w:sz="0" w:space="0" w:color="auto"/>
      </w:divBdr>
      <w:divsChild>
        <w:div w:id="1586496474">
          <w:marLeft w:val="0"/>
          <w:marRight w:val="0"/>
          <w:marTop w:val="0"/>
          <w:marBottom w:val="0"/>
          <w:divBdr>
            <w:top w:val="none" w:sz="0" w:space="0" w:color="auto"/>
            <w:left w:val="none" w:sz="0" w:space="0" w:color="auto"/>
            <w:bottom w:val="none" w:sz="0" w:space="0" w:color="auto"/>
            <w:right w:val="none" w:sz="0" w:space="0" w:color="auto"/>
          </w:divBdr>
          <w:divsChild>
            <w:div w:id="1277060666">
              <w:marLeft w:val="0"/>
              <w:marRight w:val="0"/>
              <w:marTop w:val="0"/>
              <w:marBottom w:val="0"/>
              <w:divBdr>
                <w:top w:val="none" w:sz="0" w:space="0" w:color="auto"/>
                <w:left w:val="none" w:sz="0" w:space="0" w:color="auto"/>
                <w:bottom w:val="none" w:sz="0" w:space="0" w:color="auto"/>
                <w:right w:val="none" w:sz="0" w:space="0" w:color="auto"/>
              </w:divBdr>
              <w:divsChild>
                <w:div w:id="752243039">
                  <w:marLeft w:val="0"/>
                  <w:marRight w:val="0"/>
                  <w:marTop w:val="0"/>
                  <w:marBottom w:val="0"/>
                  <w:divBdr>
                    <w:top w:val="none" w:sz="0" w:space="0" w:color="auto"/>
                    <w:left w:val="none" w:sz="0" w:space="0" w:color="auto"/>
                    <w:bottom w:val="none" w:sz="0" w:space="0" w:color="auto"/>
                    <w:right w:val="none" w:sz="0" w:space="0" w:color="auto"/>
                  </w:divBdr>
                  <w:divsChild>
                    <w:div w:id="1167674521">
                      <w:marLeft w:val="0"/>
                      <w:marRight w:val="0"/>
                      <w:marTop w:val="0"/>
                      <w:marBottom w:val="0"/>
                      <w:divBdr>
                        <w:top w:val="none" w:sz="0" w:space="0" w:color="auto"/>
                        <w:left w:val="none" w:sz="0" w:space="0" w:color="auto"/>
                        <w:bottom w:val="none" w:sz="0" w:space="0" w:color="auto"/>
                        <w:right w:val="none" w:sz="0" w:space="0" w:color="auto"/>
                      </w:divBdr>
                      <w:divsChild>
                        <w:div w:id="1432162901">
                          <w:marLeft w:val="0"/>
                          <w:marRight w:val="0"/>
                          <w:marTop w:val="0"/>
                          <w:marBottom w:val="0"/>
                          <w:divBdr>
                            <w:top w:val="none" w:sz="0" w:space="0" w:color="auto"/>
                            <w:left w:val="none" w:sz="0" w:space="0" w:color="auto"/>
                            <w:bottom w:val="none" w:sz="0" w:space="0" w:color="auto"/>
                            <w:right w:val="none" w:sz="0" w:space="0" w:color="auto"/>
                          </w:divBdr>
                          <w:divsChild>
                            <w:div w:id="1650019879">
                              <w:marLeft w:val="0"/>
                              <w:marRight w:val="0"/>
                              <w:marTop w:val="0"/>
                              <w:marBottom w:val="0"/>
                              <w:divBdr>
                                <w:top w:val="none" w:sz="0" w:space="0" w:color="auto"/>
                                <w:left w:val="none" w:sz="0" w:space="0" w:color="auto"/>
                                <w:bottom w:val="none" w:sz="0" w:space="0" w:color="auto"/>
                                <w:right w:val="none" w:sz="0" w:space="0" w:color="auto"/>
                              </w:divBdr>
                              <w:divsChild>
                                <w:div w:id="6644422">
                                  <w:marLeft w:val="0"/>
                                  <w:marRight w:val="0"/>
                                  <w:marTop w:val="0"/>
                                  <w:marBottom w:val="0"/>
                                  <w:divBdr>
                                    <w:top w:val="none" w:sz="0" w:space="0" w:color="auto"/>
                                    <w:left w:val="none" w:sz="0" w:space="0" w:color="auto"/>
                                    <w:bottom w:val="none" w:sz="0" w:space="0" w:color="auto"/>
                                    <w:right w:val="none" w:sz="0" w:space="0" w:color="auto"/>
                                  </w:divBdr>
                                  <w:divsChild>
                                    <w:div w:id="2120828856">
                                      <w:marLeft w:val="0"/>
                                      <w:marRight w:val="0"/>
                                      <w:marTop w:val="0"/>
                                      <w:marBottom w:val="0"/>
                                      <w:divBdr>
                                        <w:top w:val="none" w:sz="0" w:space="0" w:color="auto"/>
                                        <w:left w:val="none" w:sz="0" w:space="0" w:color="auto"/>
                                        <w:bottom w:val="none" w:sz="0" w:space="0" w:color="auto"/>
                                        <w:right w:val="none" w:sz="0" w:space="0" w:color="auto"/>
                                      </w:divBdr>
                                      <w:divsChild>
                                        <w:div w:id="67267131">
                                          <w:marLeft w:val="0"/>
                                          <w:marRight w:val="0"/>
                                          <w:marTop w:val="0"/>
                                          <w:marBottom w:val="0"/>
                                          <w:divBdr>
                                            <w:top w:val="none" w:sz="0" w:space="0" w:color="auto"/>
                                            <w:left w:val="none" w:sz="0" w:space="0" w:color="auto"/>
                                            <w:bottom w:val="none" w:sz="0" w:space="0" w:color="auto"/>
                                            <w:right w:val="none" w:sz="0" w:space="0" w:color="auto"/>
                                          </w:divBdr>
                                          <w:divsChild>
                                            <w:div w:id="18046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790567">
      <w:bodyDiv w:val="1"/>
      <w:marLeft w:val="0"/>
      <w:marRight w:val="0"/>
      <w:marTop w:val="0"/>
      <w:marBottom w:val="0"/>
      <w:divBdr>
        <w:top w:val="none" w:sz="0" w:space="0" w:color="auto"/>
        <w:left w:val="none" w:sz="0" w:space="0" w:color="auto"/>
        <w:bottom w:val="none" w:sz="0" w:space="0" w:color="auto"/>
        <w:right w:val="none" w:sz="0" w:space="0" w:color="auto"/>
      </w:divBdr>
      <w:divsChild>
        <w:div w:id="1286110102">
          <w:marLeft w:val="0"/>
          <w:marRight w:val="0"/>
          <w:marTop w:val="0"/>
          <w:marBottom w:val="0"/>
          <w:divBdr>
            <w:top w:val="none" w:sz="0" w:space="0" w:color="auto"/>
            <w:left w:val="none" w:sz="0" w:space="0" w:color="auto"/>
            <w:bottom w:val="none" w:sz="0" w:space="0" w:color="auto"/>
            <w:right w:val="none" w:sz="0" w:space="0" w:color="auto"/>
          </w:divBdr>
          <w:divsChild>
            <w:div w:id="1361011234">
              <w:marLeft w:val="0"/>
              <w:marRight w:val="0"/>
              <w:marTop w:val="0"/>
              <w:marBottom w:val="0"/>
              <w:divBdr>
                <w:top w:val="none" w:sz="0" w:space="0" w:color="auto"/>
                <w:left w:val="none" w:sz="0" w:space="0" w:color="auto"/>
                <w:bottom w:val="none" w:sz="0" w:space="0" w:color="auto"/>
                <w:right w:val="none" w:sz="0" w:space="0" w:color="auto"/>
              </w:divBdr>
              <w:divsChild>
                <w:div w:id="1974941305">
                  <w:marLeft w:val="0"/>
                  <w:marRight w:val="0"/>
                  <w:marTop w:val="0"/>
                  <w:marBottom w:val="0"/>
                  <w:divBdr>
                    <w:top w:val="none" w:sz="0" w:space="0" w:color="auto"/>
                    <w:left w:val="none" w:sz="0" w:space="0" w:color="auto"/>
                    <w:bottom w:val="none" w:sz="0" w:space="0" w:color="auto"/>
                    <w:right w:val="none" w:sz="0" w:space="0" w:color="auto"/>
                  </w:divBdr>
                  <w:divsChild>
                    <w:div w:id="1944026564">
                      <w:marLeft w:val="0"/>
                      <w:marRight w:val="0"/>
                      <w:marTop w:val="0"/>
                      <w:marBottom w:val="0"/>
                      <w:divBdr>
                        <w:top w:val="none" w:sz="0" w:space="0" w:color="auto"/>
                        <w:left w:val="none" w:sz="0" w:space="0" w:color="auto"/>
                        <w:bottom w:val="none" w:sz="0" w:space="0" w:color="auto"/>
                        <w:right w:val="none" w:sz="0" w:space="0" w:color="auto"/>
                      </w:divBdr>
                      <w:divsChild>
                        <w:div w:id="1848322417">
                          <w:marLeft w:val="0"/>
                          <w:marRight w:val="0"/>
                          <w:marTop w:val="0"/>
                          <w:marBottom w:val="0"/>
                          <w:divBdr>
                            <w:top w:val="none" w:sz="0" w:space="0" w:color="auto"/>
                            <w:left w:val="none" w:sz="0" w:space="0" w:color="auto"/>
                            <w:bottom w:val="none" w:sz="0" w:space="0" w:color="auto"/>
                            <w:right w:val="none" w:sz="0" w:space="0" w:color="auto"/>
                          </w:divBdr>
                          <w:divsChild>
                            <w:div w:id="2007125200">
                              <w:marLeft w:val="0"/>
                              <w:marRight w:val="0"/>
                              <w:marTop w:val="0"/>
                              <w:marBottom w:val="0"/>
                              <w:divBdr>
                                <w:top w:val="none" w:sz="0" w:space="0" w:color="auto"/>
                                <w:left w:val="none" w:sz="0" w:space="0" w:color="auto"/>
                                <w:bottom w:val="none" w:sz="0" w:space="0" w:color="auto"/>
                                <w:right w:val="none" w:sz="0" w:space="0" w:color="auto"/>
                              </w:divBdr>
                              <w:divsChild>
                                <w:div w:id="546258157">
                                  <w:marLeft w:val="0"/>
                                  <w:marRight w:val="0"/>
                                  <w:marTop w:val="0"/>
                                  <w:marBottom w:val="0"/>
                                  <w:divBdr>
                                    <w:top w:val="none" w:sz="0" w:space="0" w:color="auto"/>
                                    <w:left w:val="none" w:sz="0" w:space="0" w:color="auto"/>
                                    <w:bottom w:val="none" w:sz="0" w:space="0" w:color="auto"/>
                                    <w:right w:val="none" w:sz="0" w:space="0" w:color="auto"/>
                                  </w:divBdr>
                                  <w:divsChild>
                                    <w:div w:id="138034054">
                                      <w:marLeft w:val="0"/>
                                      <w:marRight w:val="0"/>
                                      <w:marTop w:val="0"/>
                                      <w:marBottom w:val="0"/>
                                      <w:divBdr>
                                        <w:top w:val="none" w:sz="0" w:space="0" w:color="auto"/>
                                        <w:left w:val="none" w:sz="0" w:space="0" w:color="auto"/>
                                        <w:bottom w:val="none" w:sz="0" w:space="0" w:color="auto"/>
                                        <w:right w:val="none" w:sz="0" w:space="0" w:color="auto"/>
                                      </w:divBdr>
                                      <w:divsChild>
                                        <w:div w:id="748115827">
                                          <w:marLeft w:val="0"/>
                                          <w:marRight w:val="0"/>
                                          <w:marTop w:val="0"/>
                                          <w:marBottom w:val="0"/>
                                          <w:divBdr>
                                            <w:top w:val="none" w:sz="0" w:space="0" w:color="auto"/>
                                            <w:left w:val="none" w:sz="0" w:space="0" w:color="auto"/>
                                            <w:bottom w:val="none" w:sz="0" w:space="0" w:color="auto"/>
                                            <w:right w:val="none" w:sz="0" w:space="0" w:color="auto"/>
                                          </w:divBdr>
                                          <w:divsChild>
                                            <w:div w:id="426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8267">
      <w:marLeft w:val="0"/>
      <w:marRight w:val="0"/>
      <w:marTop w:val="0"/>
      <w:marBottom w:val="0"/>
      <w:divBdr>
        <w:top w:val="single" w:sz="6" w:space="5" w:color="CCCCCC"/>
        <w:left w:val="none" w:sz="0" w:space="0" w:color="auto"/>
        <w:bottom w:val="single" w:sz="6" w:space="5" w:color="CCCCCC"/>
        <w:right w:val="none" w:sz="0" w:space="0" w:color="auto"/>
      </w:divBdr>
      <w:divsChild>
        <w:div w:id="591818155">
          <w:marLeft w:val="0"/>
          <w:marRight w:val="0"/>
          <w:marTop w:val="0"/>
          <w:marBottom w:val="0"/>
          <w:divBdr>
            <w:top w:val="none" w:sz="0" w:space="0" w:color="auto"/>
            <w:left w:val="none" w:sz="0" w:space="0" w:color="auto"/>
            <w:bottom w:val="none" w:sz="0" w:space="0" w:color="auto"/>
            <w:right w:val="none" w:sz="0" w:space="0" w:color="auto"/>
          </w:divBdr>
        </w:div>
      </w:divsChild>
    </w:div>
    <w:div w:id="1402948342">
      <w:bodyDiv w:val="1"/>
      <w:marLeft w:val="0"/>
      <w:marRight w:val="0"/>
      <w:marTop w:val="0"/>
      <w:marBottom w:val="0"/>
      <w:divBdr>
        <w:top w:val="none" w:sz="0" w:space="0" w:color="auto"/>
        <w:left w:val="none" w:sz="0" w:space="0" w:color="auto"/>
        <w:bottom w:val="none" w:sz="0" w:space="0" w:color="auto"/>
        <w:right w:val="none" w:sz="0" w:space="0" w:color="auto"/>
      </w:divBdr>
    </w:div>
    <w:div w:id="1455103579">
      <w:marLeft w:val="0"/>
      <w:marRight w:val="0"/>
      <w:marTop w:val="0"/>
      <w:marBottom w:val="0"/>
      <w:divBdr>
        <w:top w:val="none" w:sz="0" w:space="0" w:color="auto"/>
        <w:left w:val="none" w:sz="0" w:space="0" w:color="auto"/>
        <w:bottom w:val="none" w:sz="0" w:space="0" w:color="auto"/>
        <w:right w:val="none" w:sz="0" w:space="0" w:color="auto"/>
      </w:divBdr>
    </w:div>
    <w:div w:id="149664887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27">
          <w:marLeft w:val="0"/>
          <w:marRight w:val="0"/>
          <w:marTop w:val="0"/>
          <w:marBottom w:val="0"/>
          <w:divBdr>
            <w:top w:val="none" w:sz="0" w:space="0" w:color="auto"/>
            <w:left w:val="none" w:sz="0" w:space="0" w:color="auto"/>
            <w:bottom w:val="none" w:sz="0" w:space="0" w:color="auto"/>
            <w:right w:val="none" w:sz="0" w:space="0" w:color="auto"/>
          </w:divBdr>
          <w:divsChild>
            <w:div w:id="1741244100">
              <w:marLeft w:val="0"/>
              <w:marRight w:val="0"/>
              <w:marTop w:val="0"/>
              <w:marBottom w:val="0"/>
              <w:divBdr>
                <w:top w:val="none" w:sz="0" w:space="0" w:color="auto"/>
                <w:left w:val="none" w:sz="0" w:space="0" w:color="auto"/>
                <w:bottom w:val="none" w:sz="0" w:space="0" w:color="auto"/>
                <w:right w:val="none" w:sz="0" w:space="0" w:color="auto"/>
              </w:divBdr>
              <w:divsChild>
                <w:div w:id="149642422">
                  <w:marLeft w:val="0"/>
                  <w:marRight w:val="0"/>
                  <w:marTop w:val="0"/>
                  <w:marBottom w:val="0"/>
                  <w:divBdr>
                    <w:top w:val="none" w:sz="0" w:space="0" w:color="auto"/>
                    <w:left w:val="none" w:sz="0" w:space="0" w:color="auto"/>
                    <w:bottom w:val="none" w:sz="0" w:space="0" w:color="auto"/>
                    <w:right w:val="none" w:sz="0" w:space="0" w:color="auto"/>
                  </w:divBdr>
                  <w:divsChild>
                    <w:div w:id="1611429493">
                      <w:marLeft w:val="0"/>
                      <w:marRight w:val="0"/>
                      <w:marTop w:val="0"/>
                      <w:marBottom w:val="0"/>
                      <w:divBdr>
                        <w:top w:val="none" w:sz="0" w:space="0" w:color="auto"/>
                        <w:left w:val="none" w:sz="0" w:space="0" w:color="auto"/>
                        <w:bottom w:val="none" w:sz="0" w:space="0" w:color="auto"/>
                        <w:right w:val="none" w:sz="0" w:space="0" w:color="auto"/>
                      </w:divBdr>
                      <w:divsChild>
                        <w:div w:id="1544125741">
                          <w:marLeft w:val="0"/>
                          <w:marRight w:val="0"/>
                          <w:marTop w:val="0"/>
                          <w:marBottom w:val="0"/>
                          <w:divBdr>
                            <w:top w:val="none" w:sz="0" w:space="0" w:color="auto"/>
                            <w:left w:val="none" w:sz="0" w:space="0" w:color="auto"/>
                            <w:bottom w:val="none" w:sz="0" w:space="0" w:color="auto"/>
                            <w:right w:val="none" w:sz="0" w:space="0" w:color="auto"/>
                          </w:divBdr>
                          <w:divsChild>
                            <w:div w:id="980117614">
                              <w:marLeft w:val="0"/>
                              <w:marRight w:val="0"/>
                              <w:marTop w:val="0"/>
                              <w:marBottom w:val="0"/>
                              <w:divBdr>
                                <w:top w:val="none" w:sz="0" w:space="0" w:color="auto"/>
                                <w:left w:val="none" w:sz="0" w:space="0" w:color="auto"/>
                                <w:bottom w:val="none" w:sz="0" w:space="0" w:color="auto"/>
                                <w:right w:val="none" w:sz="0" w:space="0" w:color="auto"/>
                              </w:divBdr>
                              <w:divsChild>
                                <w:div w:id="917982555">
                                  <w:marLeft w:val="0"/>
                                  <w:marRight w:val="0"/>
                                  <w:marTop w:val="0"/>
                                  <w:marBottom w:val="0"/>
                                  <w:divBdr>
                                    <w:top w:val="none" w:sz="0" w:space="0" w:color="auto"/>
                                    <w:left w:val="none" w:sz="0" w:space="0" w:color="auto"/>
                                    <w:bottom w:val="none" w:sz="0" w:space="0" w:color="auto"/>
                                    <w:right w:val="none" w:sz="0" w:space="0" w:color="auto"/>
                                  </w:divBdr>
                                  <w:divsChild>
                                    <w:div w:id="1804348961">
                                      <w:marLeft w:val="0"/>
                                      <w:marRight w:val="0"/>
                                      <w:marTop w:val="0"/>
                                      <w:marBottom w:val="0"/>
                                      <w:divBdr>
                                        <w:top w:val="none" w:sz="0" w:space="0" w:color="auto"/>
                                        <w:left w:val="none" w:sz="0" w:space="0" w:color="auto"/>
                                        <w:bottom w:val="none" w:sz="0" w:space="0" w:color="auto"/>
                                        <w:right w:val="none" w:sz="0" w:space="0" w:color="auto"/>
                                      </w:divBdr>
                                      <w:divsChild>
                                        <w:div w:id="264731599">
                                          <w:marLeft w:val="0"/>
                                          <w:marRight w:val="0"/>
                                          <w:marTop w:val="0"/>
                                          <w:marBottom w:val="0"/>
                                          <w:divBdr>
                                            <w:top w:val="none" w:sz="0" w:space="0" w:color="auto"/>
                                            <w:left w:val="none" w:sz="0" w:space="0" w:color="auto"/>
                                            <w:bottom w:val="none" w:sz="0" w:space="0" w:color="auto"/>
                                            <w:right w:val="none" w:sz="0" w:space="0" w:color="auto"/>
                                          </w:divBdr>
                                          <w:divsChild>
                                            <w:div w:id="8930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585121">
      <w:marLeft w:val="0"/>
      <w:marRight w:val="0"/>
      <w:marTop w:val="0"/>
      <w:marBottom w:val="0"/>
      <w:divBdr>
        <w:top w:val="none" w:sz="0" w:space="0" w:color="auto"/>
        <w:left w:val="none" w:sz="0" w:space="0" w:color="auto"/>
        <w:bottom w:val="none" w:sz="0" w:space="0" w:color="auto"/>
        <w:right w:val="none" w:sz="0" w:space="0" w:color="auto"/>
      </w:divBdr>
      <w:divsChild>
        <w:div w:id="1437747204">
          <w:marLeft w:val="0"/>
          <w:marRight w:val="0"/>
          <w:marTop w:val="0"/>
          <w:marBottom w:val="0"/>
          <w:divBdr>
            <w:top w:val="none" w:sz="0" w:space="0" w:color="auto"/>
            <w:left w:val="none" w:sz="0" w:space="0" w:color="auto"/>
            <w:bottom w:val="none" w:sz="0" w:space="0" w:color="auto"/>
            <w:right w:val="none" w:sz="0" w:space="0" w:color="auto"/>
          </w:divBdr>
          <w:divsChild>
            <w:div w:id="1416515318">
              <w:marLeft w:val="0"/>
              <w:marRight w:val="0"/>
              <w:marTop w:val="0"/>
              <w:marBottom w:val="0"/>
              <w:divBdr>
                <w:top w:val="none" w:sz="0" w:space="0" w:color="auto"/>
                <w:left w:val="none" w:sz="0" w:space="0" w:color="auto"/>
                <w:bottom w:val="none" w:sz="0" w:space="0" w:color="auto"/>
                <w:right w:val="none" w:sz="0" w:space="0" w:color="auto"/>
              </w:divBdr>
            </w:div>
            <w:div w:id="1226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543">
      <w:bodyDiv w:val="1"/>
      <w:marLeft w:val="0"/>
      <w:marRight w:val="0"/>
      <w:marTop w:val="0"/>
      <w:marBottom w:val="0"/>
      <w:divBdr>
        <w:top w:val="none" w:sz="0" w:space="0" w:color="auto"/>
        <w:left w:val="none" w:sz="0" w:space="0" w:color="auto"/>
        <w:bottom w:val="none" w:sz="0" w:space="0" w:color="auto"/>
        <w:right w:val="none" w:sz="0" w:space="0" w:color="auto"/>
      </w:divBdr>
      <w:divsChild>
        <w:div w:id="348142726">
          <w:marLeft w:val="0"/>
          <w:marRight w:val="0"/>
          <w:marTop w:val="0"/>
          <w:marBottom w:val="0"/>
          <w:divBdr>
            <w:top w:val="none" w:sz="0" w:space="0" w:color="auto"/>
            <w:left w:val="none" w:sz="0" w:space="0" w:color="auto"/>
            <w:bottom w:val="none" w:sz="0" w:space="0" w:color="auto"/>
            <w:right w:val="none" w:sz="0" w:space="0" w:color="auto"/>
          </w:divBdr>
          <w:divsChild>
            <w:div w:id="2041128079">
              <w:marLeft w:val="0"/>
              <w:marRight w:val="0"/>
              <w:marTop w:val="0"/>
              <w:marBottom w:val="0"/>
              <w:divBdr>
                <w:top w:val="none" w:sz="0" w:space="0" w:color="auto"/>
                <w:left w:val="none" w:sz="0" w:space="0" w:color="auto"/>
                <w:bottom w:val="none" w:sz="0" w:space="0" w:color="auto"/>
                <w:right w:val="none" w:sz="0" w:space="0" w:color="auto"/>
              </w:divBdr>
              <w:divsChild>
                <w:div w:id="383679737">
                  <w:marLeft w:val="0"/>
                  <w:marRight w:val="0"/>
                  <w:marTop w:val="0"/>
                  <w:marBottom w:val="0"/>
                  <w:divBdr>
                    <w:top w:val="none" w:sz="0" w:space="0" w:color="auto"/>
                    <w:left w:val="none" w:sz="0" w:space="0" w:color="auto"/>
                    <w:bottom w:val="none" w:sz="0" w:space="0" w:color="auto"/>
                    <w:right w:val="none" w:sz="0" w:space="0" w:color="auto"/>
                  </w:divBdr>
                  <w:divsChild>
                    <w:div w:id="1341742257">
                      <w:marLeft w:val="0"/>
                      <w:marRight w:val="0"/>
                      <w:marTop w:val="0"/>
                      <w:marBottom w:val="0"/>
                      <w:divBdr>
                        <w:top w:val="none" w:sz="0" w:space="0" w:color="auto"/>
                        <w:left w:val="none" w:sz="0" w:space="0" w:color="auto"/>
                        <w:bottom w:val="none" w:sz="0" w:space="0" w:color="auto"/>
                        <w:right w:val="none" w:sz="0" w:space="0" w:color="auto"/>
                      </w:divBdr>
                      <w:divsChild>
                        <w:div w:id="1874491059">
                          <w:marLeft w:val="0"/>
                          <w:marRight w:val="0"/>
                          <w:marTop w:val="0"/>
                          <w:marBottom w:val="0"/>
                          <w:divBdr>
                            <w:top w:val="none" w:sz="0" w:space="0" w:color="auto"/>
                            <w:left w:val="none" w:sz="0" w:space="0" w:color="auto"/>
                            <w:bottom w:val="none" w:sz="0" w:space="0" w:color="auto"/>
                            <w:right w:val="none" w:sz="0" w:space="0" w:color="auto"/>
                          </w:divBdr>
                          <w:divsChild>
                            <w:div w:id="240796796">
                              <w:marLeft w:val="0"/>
                              <w:marRight w:val="0"/>
                              <w:marTop w:val="0"/>
                              <w:marBottom w:val="0"/>
                              <w:divBdr>
                                <w:top w:val="none" w:sz="0" w:space="0" w:color="auto"/>
                                <w:left w:val="none" w:sz="0" w:space="0" w:color="auto"/>
                                <w:bottom w:val="none" w:sz="0" w:space="0" w:color="auto"/>
                                <w:right w:val="none" w:sz="0" w:space="0" w:color="auto"/>
                              </w:divBdr>
                              <w:divsChild>
                                <w:div w:id="521435568">
                                  <w:marLeft w:val="0"/>
                                  <w:marRight w:val="0"/>
                                  <w:marTop w:val="0"/>
                                  <w:marBottom w:val="0"/>
                                  <w:divBdr>
                                    <w:top w:val="none" w:sz="0" w:space="0" w:color="auto"/>
                                    <w:left w:val="none" w:sz="0" w:space="0" w:color="auto"/>
                                    <w:bottom w:val="none" w:sz="0" w:space="0" w:color="auto"/>
                                    <w:right w:val="none" w:sz="0" w:space="0" w:color="auto"/>
                                  </w:divBdr>
                                  <w:divsChild>
                                    <w:div w:id="270866761">
                                      <w:marLeft w:val="0"/>
                                      <w:marRight w:val="0"/>
                                      <w:marTop w:val="0"/>
                                      <w:marBottom w:val="0"/>
                                      <w:divBdr>
                                        <w:top w:val="none" w:sz="0" w:space="0" w:color="auto"/>
                                        <w:left w:val="none" w:sz="0" w:space="0" w:color="auto"/>
                                        <w:bottom w:val="none" w:sz="0" w:space="0" w:color="auto"/>
                                        <w:right w:val="none" w:sz="0" w:space="0" w:color="auto"/>
                                      </w:divBdr>
                                      <w:divsChild>
                                        <w:div w:id="1195655843">
                                          <w:marLeft w:val="0"/>
                                          <w:marRight w:val="0"/>
                                          <w:marTop w:val="0"/>
                                          <w:marBottom w:val="0"/>
                                          <w:divBdr>
                                            <w:top w:val="none" w:sz="0" w:space="0" w:color="auto"/>
                                            <w:left w:val="none" w:sz="0" w:space="0" w:color="auto"/>
                                            <w:bottom w:val="none" w:sz="0" w:space="0" w:color="auto"/>
                                            <w:right w:val="none" w:sz="0" w:space="0" w:color="auto"/>
                                          </w:divBdr>
                                          <w:divsChild>
                                            <w:div w:id="7138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59629">
      <w:bodyDiv w:val="1"/>
      <w:marLeft w:val="0"/>
      <w:marRight w:val="0"/>
      <w:marTop w:val="0"/>
      <w:marBottom w:val="0"/>
      <w:divBdr>
        <w:top w:val="none" w:sz="0" w:space="0" w:color="auto"/>
        <w:left w:val="none" w:sz="0" w:space="0" w:color="auto"/>
        <w:bottom w:val="none" w:sz="0" w:space="0" w:color="auto"/>
        <w:right w:val="none" w:sz="0" w:space="0" w:color="auto"/>
      </w:divBdr>
      <w:divsChild>
        <w:div w:id="2115904848">
          <w:marLeft w:val="0"/>
          <w:marRight w:val="0"/>
          <w:marTop w:val="0"/>
          <w:marBottom w:val="0"/>
          <w:divBdr>
            <w:top w:val="none" w:sz="0" w:space="0" w:color="auto"/>
            <w:left w:val="none" w:sz="0" w:space="0" w:color="auto"/>
            <w:bottom w:val="none" w:sz="0" w:space="0" w:color="auto"/>
            <w:right w:val="none" w:sz="0" w:space="0" w:color="auto"/>
          </w:divBdr>
          <w:divsChild>
            <w:div w:id="708340166">
              <w:marLeft w:val="0"/>
              <w:marRight w:val="0"/>
              <w:marTop w:val="0"/>
              <w:marBottom w:val="0"/>
              <w:divBdr>
                <w:top w:val="none" w:sz="0" w:space="0" w:color="auto"/>
                <w:left w:val="none" w:sz="0" w:space="0" w:color="auto"/>
                <w:bottom w:val="none" w:sz="0" w:space="0" w:color="auto"/>
                <w:right w:val="none" w:sz="0" w:space="0" w:color="auto"/>
              </w:divBdr>
              <w:divsChild>
                <w:div w:id="1592661131">
                  <w:marLeft w:val="0"/>
                  <w:marRight w:val="0"/>
                  <w:marTop w:val="0"/>
                  <w:marBottom w:val="0"/>
                  <w:divBdr>
                    <w:top w:val="none" w:sz="0" w:space="0" w:color="auto"/>
                    <w:left w:val="none" w:sz="0" w:space="0" w:color="auto"/>
                    <w:bottom w:val="none" w:sz="0" w:space="0" w:color="auto"/>
                    <w:right w:val="none" w:sz="0" w:space="0" w:color="auto"/>
                  </w:divBdr>
                  <w:divsChild>
                    <w:div w:id="1681929289">
                      <w:marLeft w:val="0"/>
                      <w:marRight w:val="0"/>
                      <w:marTop w:val="0"/>
                      <w:marBottom w:val="0"/>
                      <w:divBdr>
                        <w:top w:val="none" w:sz="0" w:space="0" w:color="auto"/>
                        <w:left w:val="none" w:sz="0" w:space="0" w:color="auto"/>
                        <w:bottom w:val="none" w:sz="0" w:space="0" w:color="auto"/>
                        <w:right w:val="none" w:sz="0" w:space="0" w:color="auto"/>
                      </w:divBdr>
                      <w:divsChild>
                        <w:div w:id="1008097469">
                          <w:marLeft w:val="0"/>
                          <w:marRight w:val="0"/>
                          <w:marTop w:val="0"/>
                          <w:marBottom w:val="0"/>
                          <w:divBdr>
                            <w:top w:val="none" w:sz="0" w:space="0" w:color="auto"/>
                            <w:left w:val="none" w:sz="0" w:space="0" w:color="auto"/>
                            <w:bottom w:val="none" w:sz="0" w:space="0" w:color="auto"/>
                            <w:right w:val="none" w:sz="0" w:space="0" w:color="auto"/>
                          </w:divBdr>
                          <w:divsChild>
                            <w:div w:id="999231337">
                              <w:marLeft w:val="0"/>
                              <w:marRight w:val="0"/>
                              <w:marTop w:val="0"/>
                              <w:marBottom w:val="0"/>
                              <w:divBdr>
                                <w:top w:val="none" w:sz="0" w:space="0" w:color="auto"/>
                                <w:left w:val="none" w:sz="0" w:space="0" w:color="auto"/>
                                <w:bottom w:val="none" w:sz="0" w:space="0" w:color="auto"/>
                                <w:right w:val="none" w:sz="0" w:space="0" w:color="auto"/>
                              </w:divBdr>
                              <w:divsChild>
                                <w:div w:id="1400976629">
                                  <w:marLeft w:val="0"/>
                                  <w:marRight w:val="0"/>
                                  <w:marTop w:val="0"/>
                                  <w:marBottom w:val="0"/>
                                  <w:divBdr>
                                    <w:top w:val="none" w:sz="0" w:space="0" w:color="auto"/>
                                    <w:left w:val="none" w:sz="0" w:space="0" w:color="auto"/>
                                    <w:bottom w:val="none" w:sz="0" w:space="0" w:color="auto"/>
                                    <w:right w:val="none" w:sz="0" w:space="0" w:color="auto"/>
                                  </w:divBdr>
                                  <w:divsChild>
                                    <w:div w:id="1340348957">
                                      <w:marLeft w:val="0"/>
                                      <w:marRight w:val="0"/>
                                      <w:marTop w:val="0"/>
                                      <w:marBottom w:val="0"/>
                                      <w:divBdr>
                                        <w:top w:val="none" w:sz="0" w:space="0" w:color="auto"/>
                                        <w:left w:val="none" w:sz="0" w:space="0" w:color="auto"/>
                                        <w:bottom w:val="none" w:sz="0" w:space="0" w:color="auto"/>
                                        <w:right w:val="none" w:sz="0" w:space="0" w:color="auto"/>
                                      </w:divBdr>
                                      <w:divsChild>
                                        <w:div w:id="928125418">
                                          <w:marLeft w:val="0"/>
                                          <w:marRight w:val="0"/>
                                          <w:marTop w:val="0"/>
                                          <w:marBottom w:val="0"/>
                                          <w:divBdr>
                                            <w:top w:val="none" w:sz="0" w:space="0" w:color="auto"/>
                                            <w:left w:val="none" w:sz="0" w:space="0" w:color="auto"/>
                                            <w:bottom w:val="none" w:sz="0" w:space="0" w:color="auto"/>
                                            <w:right w:val="none" w:sz="0" w:space="0" w:color="auto"/>
                                          </w:divBdr>
                                          <w:divsChild>
                                            <w:div w:id="379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107754">
      <w:bodyDiv w:val="1"/>
      <w:marLeft w:val="0"/>
      <w:marRight w:val="0"/>
      <w:marTop w:val="0"/>
      <w:marBottom w:val="0"/>
      <w:divBdr>
        <w:top w:val="none" w:sz="0" w:space="0" w:color="auto"/>
        <w:left w:val="none" w:sz="0" w:space="0" w:color="auto"/>
        <w:bottom w:val="none" w:sz="0" w:space="0" w:color="auto"/>
        <w:right w:val="none" w:sz="0" w:space="0" w:color="auto"/>
      </w:divBdr>
      <w:divsChild>
        <w:div w:id="213472799">
          <w:marLeft w:val="0"/>
          <w:marRight w:val="0"/>
          <w:marTop w:val="0"/>
          <w:marBottom w:val="0"/>
          <w:divBdr>
            <w:top w:val="none" w:sz="0" w:space="0" w:color="auto"/>
            <w:left w:val="none" w:sz="0" w:space="0" w:color="auto"/>
            <w:bottom w:val="none" w:sz="0" w:space="0" w:color="auto"/>
            <w:right w:val="none" w:sz="0" w:space="0" w:color="auto"/>
          </w:divBdr>
          <w:divsChild>
            <w:div w:id="2072196824">
              <w:marLeft w:val="0"/>
              <w:marRight w:val="0"/>
              <w:marTop w:val="0"/>
              <w:marBottom w:val="0"/>
              <w:divBdr>
                <w:top w:val="none" w:sz="0" w:space="0" w:color="auto"/>
                <w:left w:val="none" w:sz="0" w:space="0" w:color="auto"/>
                <w:bottom w:val="none" w:sz="0" w:space="0" w:color="auto"/>
                <w:right w:val="none" w:sz="0" w:space="0" w:color="auto"/>
              </w:divBdr>
              <w:divsChild>
                <w:div w:id="929584918">
                  <w:marLeft w:val="0"/>
                  <w:marRight w:val="0"/>
                  <w:marTop w:val="0"/>
                  <w:marBottom w:val="0"/>
                  <w:divBdr>
                    <w:top w:val="none" w:sz="0" w:space="0" w:color="auto"/>
                    <w:left w:val="none" w:sz="0" w:space="0" w:color="auto"/>
                    <w:bottom w:val="none" w:sz="0" w:space="0" w:color="auto"/>
                    <w:right w:val="none" w:sz="0" w:space="0" w:color="auto"/>
                  </w:divBdr>
                  <w:divsChild>
                    <w:div w:id="1377047284">
                      <w:marLeft w:val="0"/>
                      <w:marRight w:val="0"/>
                      <w:marTop w:val="0"/>
                      <w:marBottom w:val="0"/>
                      <w:divBdr>
                        <w:top w:val="none" w:sz="0" w:space="0" w:color="auto"/>
                        <w:left w:val="none" w:sz="0" w:space="0" w:color="auto"/>
                        <w:bottom w:val="none" w:sz="0" w:space="0" w:color="auto"/>
                        <w:right w:val="none" w:sz="0" w:space="0" w:color="auto"/>
                      </w:divBdr>
                      <w:divsChild>
                        <w:div w:id="20139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89926">
      <w:bodyDiv w:val="1"/>
      <w:marLeft w:val="0"/>
      <w:marRight w:val="0"/>
      <w:marTop w:val="0"/>
      <w:marBottom w:val="0"/>
      <w:divBdr>
        <w:top w:val="none" w:sz="0" w:space="0" w:color="auto"/>
        <w:left w:val="none" w:sz="0" w:space="0" w:color="auto"/>
        <w:bottom w:val="none" w:sz="0" w:space="0" w:color="auto"/>
        <w:right w:val="none" w:sz="0" w:space="0" w:color="auto"/>
      </w:divBdr>
      <w:divsChild>
        <w:div w:id="676621032">
          <w:marLeft w:val="0"/>
          <w:marRight w:val="0"/>
          <w:marTop w:val="0"/>
          <w:marBottom w:val="0"/>
          <w:divBdr>
            <w:top w:val="none" w:sz="0" w:space="0" w:color="auto"/>
            <w:left w:val="none" w:sz="0" w:space="0" w:color="auto"/>
            <w:bottom w:val="none" w:sz="0" w:space="0" w:color="auto"/>
            <w:right w:val="none" w:sz="0" w:space="0" w:color="auto"/>
          </w:divBdr>
          <w:divsChild>
            <w:div w:id="542520978">
              <w:marLeft w:val="0"/>
              <w:marRight w:val="0"/>
              <w:marTop w:val="0"/>
              <w:marBottom w:val="0"/>
              <w:divBdr>
                <w:top w:val="none" w:sz="0" w:space="0" w:color="auto"/>
                <w:left w:val="none" w:sz="0" w:space="0" w:color="auto"/>
                <w:bottom w:val="none" w:sz="0" w:space="0" w:color="auto"/>
                <w:right w:val="none" w:sz="0" w:space="0" w:color="auto"/>
              </w:divBdr>
              <w:divsChild>
                <w:div w:id="2045136552">
                  <w:marLeft w:val="0"/>
                  <w:marRight w:val="0"/>
                  <w:marTop w:val="0"/>
                  <w:marBottom w:val="0"/>
                  <w:divBdr>
                    <w:top w:val="none" w:sz="0" w:space="0" w:color="auto"/>
                    <w:left w:val="none" w:sz="0" w:space="0" w:color="auto"/>
                    <w:bottom w:val="none" w:sz="0" w:space="0" w:color="auto"/>
                    <w:right w:val="none" w:sz="0" w:space="0" w:color="auto"/>
                  </w:divBdr>
                  <w:divsChild>
                    <w:div w:id="1705518699">
                      <w:marLeft w:val="0"/>
                      <w:marRight w:val="0"/>
                      <w:marTop w:val="0"/>
                      <w:marBottom w:val="0"/>
                      <w:divBdr>
                        <w:top w:val="none" w:sz="0" w:space="0" w:color="auto"/>
                        <w:left w:val="none" w:sz="0" w:space="0" w:color="auto"/>
                        <w:bottom w:val="none" w:sz="0" w:space="0" w:color="auto"/>
                        <w:right w:val="none" w:sz="0" w:space="0" w:color="auto"/>
                      </w:divBdr>
                      <w:divsChild>
                        <w:div w:id="1224171753">
                          <w:marLeft w:val="0"/>
                          <w:marRight w:val="0"/>
                          <w:marTop w:val="0"/>
                          <w:marBottom w:val="0"/>
                          <w:divBdr>
                            <w:top w:val="none" w:sz="0" w:space="0" w:color="auto"/>
                            <w:left w:val="none" w:sz="0" w:space="0" w:color="auto"/>
                            <w:bottom w:val="none" w:sz="0" w:space="0" w:color="auto"/>
                            <w:right w:val="none" w:sz="0" w:space="0" w:color="auto"/>
                          </w:divBdr>
                          <w:divsChild>
                            <w:div w:id="1429808683">
                              <w:marLeft w:val="0"/>
                              <w:marRight w:val="0"/>
                              <w:marTop w:val="0"/>
                              <w:marBottom w:val="0"/>
                              <w:divBdr>
                                <w:top w:val="none" w:sz="0" w:space="0" w:color="auto"/>
                                <w:left w:val="none" w:sz="0" w:space="0" w:color="auto"/>
                                <w:bottom w:val="none" w:sz="0" w:space="0" w:color="auto"/>
                                <w:right w:val="none" w:sz="0" w:space="0" w:color="auto"/>
                              </w:divBdr>
                              <w:divsChild>
                                <w:div w:id="57023035">
                                  <w:marLeft w:val="0"/>
                                  <w:marRight w:val="0"/>
                                  <w:marTop w:val="0"/>
                                  <w:marBottom w:val="0"/>
                                  <w:divBdr>
                                    <w:top w:val="none" w:sz="0" w:space="0" w:color="auto"/>
                                    <w:left w:val="none" w:sz="0" w:space="0" w:color="auto"/>
                                    <w:bottom w:val="none" w:sz="0" w:space="0" w:color="auto"/>
                                    <w:right w:val="none" w:sz="0" w:space="0" w:color="auto"/>
                                  </w:divBdr>
                                  <w:divsChild>
                                    <w:div w:id="1489513522">
                                      <w:marLeft w:val="0"/>
                                      <w:marRight w:val="0"/>
                                      <w:marTop w:val="0"/>
                                      <w:marBottom w:val="0"/>
                                      <w:divBdr>
                                        <w:top w:val="none" w:sz="0" w:space="0" w:color="auto"/>
                                        <w:left w:val="none" w:sz="0" w:space="0" w:color="auto"/>
                                        <w:bottom w:val="none" w:sz="0" w:space="0" w:color="auto"/>
                                        <w:right w:val="none" w:sz="0" w:space="0" w:color="auto"/>
                                      </w:divBdr>
                                      <w:divsChild>
                                        <w:div w:id="308437668">
                                          <w:marLeft w:val="0"/>
                                          <w:marRight w:val="0"/>
                                          <w:marTop w:val="0"/>
                                          <w:marBottom w:val="0"/>
                                          <w:divBdr>
                                            <w:top w:val="none" w:sz="0" w:space="0" w:color="auto"/>
                                            <w:left w:val="none" w:sz="0" w:space="0" w:color="auto"/>
                                            <w:bottom w:val="none" w:sz="0" w:space="0" w:color="auto"/>
                                            <w:right w:val="none" w:sz="0" w:space="0" w:color="auto"/>
                                          </w:divBdr>
                                          <w:divsChild>
                                            <w:div w:id="4992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436889">
      <w:marLeft w:val="0"/>
      <w:marRight w:val="0"/>
      <w:marTop w:val="225"/>
      <w:marBottom w:val="0"/>
      <w:divBdr>
        <w:top w:val="none" w:sz="0" w:space="0" w:color="auto"/>
        <w:left w:val="none" w:sz="0" w:space="0" w:color="auto"/>
        <w:bottom w:val="none" w:sz="0" w:space="0" w:color="auto"/>
        <w:right w:val="none" w:sz="0" w:space="0" w:color="auto"/>
      </w:divBdr>
      <w:divsChild>
        <w:div w:id="28196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search?q=LGA+Call+for+Evidence%3A+The+Impact+of+EU+Exit+on+Places&amp;gws_rd=ssl" TargetMode="External"/><Relationship Id="rId18" Type="http://schemas.openxmlformats.org/officeDocument/2006/relationships/image" Target="media/image4.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politics/eu-referendum"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cdn.obr.uk/EFO-MaRch_2018.pdf"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www.independent.co.uk/news/uk/politics/brexit-divorce-bill-financial-settlement-39-billion-theresa-may-juncker-agreement-northern-ireland-a8099076.html" TargetMode="Externa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occ.local\data\Financial-Management-Capital-Strategy\1NEW_ACCOUNTANCY\Treasury\2018-19\Reports\Monthly%20Performance%20Meetings\Property%20Fund%20Prices%20&amp;%20Graphs%20-TMP%202018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occ.local\data\Financial-Management-Capital-Strategy\1NEW_ACCOUNTANCY\Treasury\2018-19\Reports\Monthly%20Performance%20Meetings\Property%20Fund%20Prices%20&amp;%20Graphs%20-TMP%20201819.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b="1" i="0" u="none" strike="noStrike" baseline="0">
                <a:effectLst/>
              </a:rPr>
              <a:t>Average Weekly Workplace Earnings</a:t>
            </a:r>
          </a:p>
          <a:p>
            <a:pPr>
              <a:defRPr/>
            </a:pPr>
            <a:r>
              <a:rPr lang="en-GB" sz="1400" b="0" i="0" u="none" strike="noStrike" baseline="0">
                <a:solidFill>
                  <a:schemeClr val="bg1">
                    <a:lumMod val="50000"/>
                  </a:schemeClr>
                </a:solidFill>
                <a:effectLst/>
              </a:rPr>
              <a:t>2004–2017 (£)</a:t>
            </a:r>
            <a:endParaRPr lang="en-GB" sz="1600">
              <a:solidFill>
                <a:schemeClr val="bg1">
                  <a:lumMod val="50000"/>
                </a:schemeClr>
              </a:solidFill>
            </a:endParaRPr>
          </a:p>
        </c:rich>
      </c:tx>
      <c:layout>
        <c:manualLayout>
          <c:xMode val="edge"/>
          <c:yMode val="edge"/>
          <c:x val="0.26257758546240073"/>
          <c:y val="2.3809523809523808E-2"/>
        </c:manualLayout>
      </c:layout>
      <c:overlay val="0"/>
    </c:title>
    <c:autoTitleDeleted val="0"/>
    <c:plotArea>
      <c:layout/>
      <c:lineChart>
        <c:grouping val="standard"/>
        <c:varyColors val="0"/>
        <c:ser>
          <c:idx val="1"/>
          <c:order val="0"/>
          <c:tx>
            <c:strRef>
              <c:f>average_weekly_workplace_earnin!$B$20</c:f>
              <c:strCache>
                <c:ptCount val="1"/>
                <c:pt idx="0">
                  <c:v>National Average</c:v>
                </c:pt>
              </c:strCache>
            </c:strRef>
          </c:tx>
          <c:spPr>
            <a:ln>
              <a:solidFill>
                <a:srgbClr val="FFC000"/>
              </a:solidFill>
            </a:ln>
          </c:spPr>
          <c:marker>
            <c:symbol val="square"/>
            <c:size val="7"/>
            <c:spPr>
              <a:solidFill>
                <a:srgbClr val="FFC000"/>
              </a:solidFill>
              <a:ln>
                <a:solidFill>
                  <a:srgbClr val="FFC000"/>
                </a:solidFill>
              </a:ln>
            </c:spPr>
          </c:marker>
          <c:cat>
            <c:numRef>
              <c:f>average_weekly_workplace_earnin!$A$21:$A$34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average_weekly_workplace_earnin!$B$21:$B$34</c:f>
              <c:numCache>
                <c:formatCode>General</c:formatCode>
                <c:ptCount val="14"/>
                <c:pt idx="0">
                  <c:v>549.15</c:v>
                </c:pt>
                <c:pt idx="1">
                  <c:v>542.04999999999995</c:v>
                </c:pt>
                <c:pt idx="2">
                  <c:v>553.63</c:v>
                </c:pt>
                <c:pt idx="3">
                  <c:v>554.16</c:v>
                </c:pt>
                <c:pt idx="4">
                  <c:v>559.34</c:v>
                </c:pt>
                <c:pt idx="5">
                  <c:v>556.6</c:v>
                </c:pt>
                <c:pt idx="6">
                  <c:v>546.02</c:v>
                </c:pt>
                <c:pt idx="7">
                  <c:v>522.19000000000005</c:v>
                </c:pt>
                <c:pt idx="8">
                  <c:v>491.3</c:v>
                </c:pt>
                <c:pt idx="9">
                  <c:v>501.3</c:v>
                </c:pt>
                <c:pt idx="10">
                  <c:v>501.5</c:v>
                </c:pt>
                <c:pt idx="11">
                  <c:v>507.2</c:v>
                </c:pt>
                <c:pt idx="12">
                  <c:v>525</c:v>
                </c:pt>
                <c:pt idx="13">
                  <c:v>538.70000000000005</c:v>
                </c:pt>
              </c:numCache>
            </c:numRef>
          </c:val>
          <c:smooth val="0"/>
        </c:ser>
        <c:ser>
          <c:idx val="2"/>
          <c:order val="1"/>
          <c:tx>
            <c:strRef>
              <c:f>average_weekly_workplace_earnin!$C$20</c:f>
              <c:strCache>
                <c:ptCount val="1"/>
                <c:pt idx="0">
                  <c:v>Oxford</c:v>
                </c:pt>
              </c:strCache>
            </c:strRef>
          </c:tx>
          <c:spPr>
            <a:ln>
              <a:solidFill>
                <a:schemeClr val="accent6">
                  <a:lumMod val="75000"/>
                </a:schemeClr>
              </a:solidFill>
              <a:prstDash val="sysDash"/>
            </a:ln>
          </c:spPr>
          <c:marker>
            <c:symbol val="circle"/>
            <c:size val="7"/>
            <c:spPr>
              <a:solidFill>
                <a:schemeClr val="accent6">
                  <a:lumMod val="75000"/>
                </a:schemeClr>
              </a:solidFill>
              <a:ln>
                <a:solidFill>
                  <a:schemeClr val="accent6">
                    <a:lumMod val="75000"/>
                  </a:schemeClr>
                </a:solidFill>
              </a:ln>
            </c:spPr>
          </c:marker>
          <c:cat>
            <c:numRef>
              <c:f>average_weekly_workplace_earnin!$A$21:$A$34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average_weekly_workplace_earnin!$C$21:$C$34</c:f>
              <c:numCache>
                <c:formatCode>General</c:formatCode>
                <c:ptCount val="14"/>
                <c:pt idx="0">
                  <c:v>536.86</c:v>
                </c:pt>
                <c:pt idx="1">
                  <c:v>584.62</c:v>
                </c:pt>
                <c:pt idx="2">
                  <c:v>598.12</c:v>
                </c:pt>
                <c:pt idx="3">
                  <c:v>604.03</c:v>
                </c:pt>
                <c:pt idx="4">
                  <c:v>572.46</c:v>
                </c:pt>
                <c:pt idx="5">
                  <c:v>584.72</c:v>
                </c:pt>
                <c:pt idx="6">
                  <c:v>596.86</c:v>
                </c:pt>
                <c:pt idx="7">
                  <c:v>559.80999999999995</c:v>
                </c:pt>
                <c:pt idx="8">
                  <c:v>524.1</c:v>
                </c:pt>
                <c:pt idx="9">
                  <c:v>557.29999999999995</c:v>
                </c:pt>
                <c:pt idx="10">
                  <c:v>555.70000000000005</c:v>
                </c:pt>
                <c:pt idx="11">
                  <c:v>584.20000000000005</c:v>
                </c:pt>
                <c:pt idx="12">
                  <c:v>577.20000000000005</c:v>
                </c:pt>
                <c:pt idx="13">
                  <c:v>600.29999999999995</c:v>
                </c:pt>
              </c:numCache>
            </c:numRef>
          </c:val>
          <c:smooth val="0"/>
        </c:ser>
        <c:dLbls>
          <c:showLegendKey val="0"/>
          <c:showVal val="0"/>
          <c:showCatName val="0"/>
          <c:showSerName val="0"/>
          <c:showPercent val="0"/>
          <c:showBubbleSize val="0"/>
        </c:dLbls>
        <c:marker val="1"/>
        <c:smooth val="0"/>
        <c:axId val="35823616"/>
        <c:axId val="35825152"/>
      </c:lineChart>
      <c:catAx>
        <c:axId val="35823616"/>
        <c:scaling>
          <c:orientation val="minMax"/>
        </c:scaling>
        <c:delete val="0"/>
        <c:axPos val="b"/>
        <c:numFmt formatCode="General" sourceLinked="1"/>
        <c:majorTickMark val="none"/>
        <c:minorTickMark val="none"/>
        <c:tickLblPos val="nextTo"/>
        <c:crossAx val="35825152"/>
        <c:crosses val="autoZero"/>
        <c:auto val="1"/>
        <c:lblAlgn val="ctr"/>
        <c:lblOffset val="100"/>
        <c:noMultiLvlLbl val="0"/>
      </c:catAx>
      <c:valAx>
        <c:axId val="35825152"/>
        <c:scaling>
          <c:orientation val="minMax"/>
          <c:min val="400"/>
        </c:scaling>
        <c:delete val="0"/>
        <c:axPos val="l"/>
        <c:majorGridlines>
          <c:spPr>
            <a:ln>
              <a:solidFill>
                <a:schemeClr val="bg1">
                  <a:lumMod val="75000"/>
                </a:schemeClr>
              </a:solidFill>
            </a:ln>
          </c:spPr>
        </c:majorGridlines>
        <c:numFmt formatCode="&quot;£&quot;#,##0" sourceLinked="0"/>
        <c:majorTickMark val="none"/>
        <c:minorTickMark val="none"/>
        <c:tickLblPos val="nextTo"/>
        <c:spPr>
          <a:ln w="9525">
            <a:noFill/>
          </a:ln>
        </c:spPr>
        <c:crossAx val="35823616"/>
        <c:crosses val="autoZero"/>
        <c:crossBetween val="midCat"/>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en-GB">
                <a:solidFill>
                  <a:sysClr val="windowText" lastClr="000000"/>
                </a:solidFill>
              </a:rPr>
              <a:t>Average house prices and number of transaction, by month, Oxford</a:t>
            </a:r>
          </a:p>
          <a:p>
            <a:pPr>
              <a:defRPr>
                <a:solidFill>
                  <a:sysClr val="windowText" lastClr="000000"/>
                </a:solidFill>
              </a:defRPr>
            </a:pPr>
            <a:r>
              <a:rPr lang="en-GB">
                <a:solidFill>
                  <a:sysClr val="windowText" lastClr="000000"/>
                </a:solidFill>
              </a:rPr>
              <a:t>June 2008 - April 2018</a:t>
            </a:r>
          </a:p>
        </c:rich>
      </c:tx>
      <c:layout>
        <c:manualLayout>
          <c:xMode val="edge"/>
          <c:yMode val="edge"/>
          <c:x val="0.12779914529914529"/>
          <c:y val="2.9211408500982715E-2"/>
        </c:manualLayout>
      </c:layout>
      <c:overlay val="0"/>
    </c:title>
    <c:autoTitleDeleted val="0"/>
    <c:plotArea>
      <c:layout/>
      <c:barChart>
        <c:barDir val="col"/>
        <c:grouping val="clustered"/>
        <c:varyColors val="0"/>
        <c:ser>
          <c:idx val="2"/>
          <c:order val="1"/>
          <c:tx>
            <c:strRef>
              <c:f>Graph!$B$1</c:f>
              <c:strCache>
                <c:ptCount val="1"/>
                <c:pt idx="0">
                  <c:v>Sales volume</c:v>
                </c:pt>
              </c:strCache>
            </c:strRef>
          </c:tx>
          <c:spPr>
            <a:solidFill>
              <a:schemeClr val="accent2"/>
            </a:solidFill>
          </c:spPr>
          <c:invertIfNegative val="0"/>
          <c:cat>
            <c:strRef>
              <c:f>Graph!$A$17</c:f>
              <c:strCache>
                <c:ptCount val="1"/>
                <c:pt idx="0">
                  <c:v>2009-05</c:v>
                </c:pt>
              </c:strCache>
            </c:strRef>
          </c:cat>
          <c:val>
            <c:numRef>
              <c:f>Graph!$B$2:$B$122</c:f>
              <c:numCache>
                <c:formatCode>General</c:formatCode>
                <c:ptCount val="121"/>
                <c:pt idx="0">
                  <c:v>137</c:v>
                </c:pt>
                <c:pt idx="1">
                  <c:v>107</c:v>
                </c:pt>
                <c:pt idx="2">
                  <c:v>140</c:v>
                </c:pt>
                <c:pt idx="3">
                  <c:v>140</c:v>
                </c:pt>
                <c:pt idx="4">
                  <c:v>140</c:v>
                </c:pt>
                <c:pt idx="5">
                  <c:v>123</c:v>
                </c:pt>
                <c:pt idx="6">
                  <c:v>155</c:v>
                </c:pt>
                <c:pt idx="7">
                  <c:v>111</c:v>
                </c:pt>
                <c:pt idx="8">
                  <c:v>105</c:v>
                </c:pt>
                <c:pt idx="9">
                  <c:v>84</c:v>
                </c:pt>
                <c:pt idx="10">
                  <c:v>101</c:v>
                </c:pt>
                <c:pt idx="11">
                  <c:v>95</c:v>
                </c:pt>
                <c:pt idx="12">
                  <c:v>63</c:v>
                </c:pt>
                <c:pt idx="13">
                  <c:v>99</c:v>
                </c:pt>
                <c:pt idx="14">
                  <c:v>112</c:v>
                </c:pt>
                <c:pt idx="15">
                  <c:v>131</c:v>
                </c:pt>
                <c:pt idx="16">
                  <c:v>113</c:v>
                </c:pt>
                <c:pt idx="17">
                  <c:v>170</c:v>
                </c:pt>
                <c:pt idx="18">
                  <c:v>169</c:v>
                </c:pt>
                <c:pt idx="19">
                  <c:v>194</c:v>
                </c:pt>
                <c:pt idx="20">
                  <c:v>186</c:v>
                </c:pt>
                <c:pt idx="21">
                  <c:v>146</c:v>
                </c:pt>
                <c:pt idx="22">
                  <c:v>193</c:v>
                </c:pt>
                <c:pt idx="23">
                  <c:v>105</c:v>
                </c:pt>
                <c:pt idx="24">
                  <c:v>102</c:v>
                </c:pt>
                <c:pt idx="25">
                  <c:v>120</c:v>
                </c:pt>
                <c:pt idx="26">
                  <c:v>131</c:v>
                </c:pt>
                <c:pt idx="27">
                  <c:v>120</c:v>
                </c:pt>
                <c:pt idx="28">
                  <c:v>165</c:v>
                </c:pt>
                <c:pt idx="29">
                  <c:v>184</c:v>
                </c:pt>
                <c:pt idx="30">
                  <c:v>188</c:v>
                </c:pt>
                <c:pt idx="31">
                  <c:v>186</c:v>
                </c:pt>
                <c:pt idx="32">
                  <c:v>152</c:v>
                </c:pt>
                <c:pt idx="33">
                  <c:v>146</c:v>
                </c:pt>
                <c:pt idx="34">
                  <c:v>155</c:v>
                </c:pt>
                <c:pt idx="35">
                  <c:v>91</c:v>
                </c:pt>
                <c:pt idx="36">
                  <c:v>115</c:v>
                </c:pt>
                <c:pt idx="37">
                  <c:v>91</c:v>
                </c:pt>
                <c:pt idx="38">
                  <c:v>114</c:v>
                </c:pt>
                <c:pt idx="39">
                  <c:v>104</c:v>
                </c:pt>
                <c:pt idx="40">
                  <c:v>137</c:v>
                </c:pt>
                <c:pt idx="41">
                  <c:v>175</c:v>
                </c:pt>
                <c:pt idx="42">
                  <c:v>183</c:v>
                </c:pt>
                <c:pt idx="43">
                  <c:v>168</c:v>
                </c:pt>
                <c:pt idx="44">
                  <c:v>141</c:v>
                </c:pt>
                <c:pt idx="45">
                  <c:v>135</c:v>
                </c:pt>
                <c:pt idx="46">
                  <c:v>134</c:v>
                </c:pt>
                <c:pt idx="47">
                  <c:v>118</c:v>
                </c:pt>
                <c:pt idx="48">
                  <c:v>112</c:v>
                </c:pt>
                <c:pt idx="49">
                  <c:v>155</c:v>
                </c:pt>
                <c:pt idx="50">
                  <c:v>93</c:v>
                </c:pt>
                <c:pt idx="51">
                  <c:v>107</c:v>
                </c:pt>
                <c:pt idx="52">
                  <c:v>109</c:v>
                </c:pt>
                <c:pt idx="53">
                  <c:v>164</c:v>
                </c:pt>
                <c:pt idx="54">
                  <c:v>148</c:v>
                </c:pt>
                <c:pt idx="55">
                  <c:v>145</c:v>
                </c:pt>
                <c:pt idx="56">
                  <c:v>109</c:v>
                </c:pt>
                <c:pt idx="57">
                  <c:v>133</c:v>
                </c:pt>
                <c:pt idx="58">
                  <c:v>96</c:v>
                </c:pt>
                <c:pt idx="59">
                  <c:v>109</c:v>
                </c:pt>
                <c:pt idx="60">
                  <c:v>82</c:v>
                </c:pt>
                <c:pt idx="61">
                  <c:v>113</c:v>
                </c:pt>
                <c:pt idx="62">
                  <c:v>106</c:v>
                </c:pt>
                <c:pt idx="63">
                  <c:v>140</c:v>
                </c:pt>
                <c:pt idx="64">
                  <c:v>129</c:v>
                </c:pt>
                <c:pt idx="65">
                  <c:v>210</c:v>
                </c:pt>
                <c:pt idx="66">
                  <c:v>213</c:v>
                </c:pt>
                <c:pt idx="67">
                  <c:v>171</c:v>
                </c:pt>
                <c:pt idx="68">
                  <c:v>168</c:v>
                </c:pt>
                <c:pt idx="69">
                  <c:v>148</c:v>
                </c:pt>
                <c:pt idx="70">
                  <c:v>142</c:v>
                </c:pt>
                <c:pt idx="71">
                  <c:v>136</c:v>
                </c:pt>
                <c:pt idx="72">
                  <c:v>116</c:v>
                </c:pt>
                <c:pt idx="73">
                  <c:v>125</c:v>
                </c:pt>
                <c:pt idx="74">
                  <c:v>133</c:v>
                </c:pt>
                <c:pt idx="75">
                  <c:v>155</c:v>
                </c:pt>
                <c:pt idx="76">
                  <c:v>146</c:v>
                </c:pt>
                <c:pt idx="77">
                  <c:v>180</c:v>
                </c:pt>
                <c:pt idx="78">
                  <c:v>199</c:v>
                </c:pt>
                <c:pt idx="79">
                  <c:v>196</c:v>
                </c:pt>
                <c:pt idx="80">
                  <c:v>173</c:v>
                </c:pt>
                <c:pt idx="81">
                  <c:v>146</c:v>
                </c:pt>
                <c:pt idx="82">
                  <c:v>156</c:v>
                </c:pt>
                <c:pt idx="83">
                  <c:v>105</c:v>
                </c:pt>
                <c:pt idx="84">
                  <c:v>95</c:v>
                </c:pt>
                <c:pt idx="85">
                  <c:v>147</c:v>
                </c:pt>
                <c:pt idx="86">
                  <c:v>148</c:v>
                </c:pt>
                <c:pt idx="87">
                  <c:v>125</c:v>
                </c:pt>
                <c:pt idx="88">
                  <c:v>141</c:v>
                </c:pt>
                <c:pt idx="89">
                  <c:v>197</c:v>
                </c:pt>
                <c:pt idx="90">
                  <c:v>172</c:v>
                </c:pt>
                <c:pt idx="91">
                  <c:v>182</c:v>
                </c:pt>
                <c:pt idx="92">
                  <c:v>159</c:v>
                </c:pt>
                <c:pt idx="93">
                  <c:v>121</c:v>
                </c:pt>
                <c:pt idx="94">
                  <c:v>129</c:v>
                </c:pt>
                <c:pt idx="95">
                  <c:v>126</c:v>
                </c:pt>
                <c:pt idx="96">
                  <c:v>114</c:v>
                </c:pt>
                <c:pt idx="97">
                  <c:v>272</c:v>
                </c:pt>
                <c:pt idx="98">
                  <c:v>71</c:v>
                </c:pt>
                <c:pt idx="99">
                  <c:v>67</c:v>
                </c:pt>
                <c:pt idx="100">
                  <c:v>99</c:v>
                </c:pt>
                <c:pt idx="101">
                  <c:v>125</c:v>
                </c:pt>
                <c:pt idx="102">
                  <c:v>146</c:v>
                </c:pt>
                <c:pt idx="103">
                  <c:v>104</c:v>
                </c:pt>
                <c:pt idx="104">
                  <c:v>128</c:v>
                </c:pt>
                <c:pt idx="105">
                  <c:v>117</c:v>
                </c:pt>
                <c:pt idx="106">
                  <c:v>120</c:v>
                </c:pt>
                <c:pt idx="107">
                  <c:v>104</c:v>
                </c:pt>
                <c:pt idx="108">
                  <c:v>88</c:v>
                </c:pt>
                <c:pt idx="109">
                  <c:v>87</c:v>
                </c:pt>
                <c:pt idx="110">
                  <c:v>95</c:v>
                </c:pt>
                <c:pt idx="111">
                  <c:v>78</c:v>
                </c:pt>
                <c:pt idx="112">
                  <c:v>120</c:v>
                </c:pt>
                <c:pt idx="113">
                  <c:v>159</c:v>
                </c:pt>
                <c:pt idx="114">
                  <c:v>137</c:v>
                </c:pt>
                <c:pt idx="115">
                  <c:v>124</c:v>
                </c:pt>
                <c:pt idx="116">
                  <c:v>102</c:v>
                </c:pt>
                <c:pt idx="117">
                  <c:v>77</c:v>
                </c:pt>
                <c:pt idx="118">
                  <c:v>111</c:v>
                </c:pt>
                <c:pt idx="119">
                  <c:v>85</c:v>
                </c:pt>
                <c:pt idx="120">
                  <c:v>74</c:v>
                </c:pt>
              </c:numCache>
            </c:numRef>
          </c:val>
        </c:ser>
        <c:dLbls>
          <c:showLegendKey val="0"/>
          <c:showVal val="0"/>
          <c:showCatName val="0"/>
          <c:showSerName val="0"/>
          <c:showPercent val="0"/>
          <c:showBubbleSize val="0"/>
        </c:dLbls>
        <c:gapWidth val="150"/>
        <c:axId val="90873856"/>
        <c:axId val="90871680"/>
      </c:barChart>
      <c:lineChart>
        <c:grouping val="standard"/>
        <c:varyColors val="0"/>
        <c:ser>
          <c:idx val="1"/>
          <c:order val="0"/>
          <c:tx>
            <c:strRef>
              <c:f>Graph!$C$1</c:f>
              <c:strCache>
                <c:ptCount val="1"/>
                <c:pt idx="0">
                  <c:v>Average price</c:v>
                </c:pt>
              </c:strCache>
            </c:strRef>
          </c:tx>
          <c:spPr>
            <a:ln>
              <a:solidFill>
                <a:schemeClr val="accent1"/>
              </a:solidFill>
            </a:ln>
          </c:spPr>
          <c:marker>
            <c:symbol val="none"/>
          </c:marker>
          <c:cat>
            <c:strRef>
              <c:f>Graph!$A$2:$A$122</c:f>
              <c:strCache>
                <c:ptCount val="121"/>
                <c:pt idx="0">
                  <c:v>2008-02</c:v>
                </c:pt>
                <c:pt idx="1">
                  <c:v>2008-03</c:v>
                </c:pt>
                <c:pt idx="2">
                  <c:v>2008-04</c:v>
                </c:pt>
                <c:pt idx="3">
                  <c:v>2008-05</c:v>
                </c:pt>
                <c:pt idx="4">
                  <c:v>2008-06</c:v>
                </c:pt>
                <c:pt idx="5">
                  <c:v>2008-07</c:v>
                </c:pt>
                <c:pt idx="6">
                  <c:v>2008-08</c:v>
                </c:pt>
                <c:pt idx="7">
                  <c:v>2008-09</c:v>
                </c:pt>
                <c:pt idx="8">
                  <c:v>2008-10</c:v>
                </c:pt>
                <c:pt idx="9">
                  <c:v>2008-11</c:v>
                </c:pt>
                <c:pt idx="10">
                  <c:v>2008-12</c:v>
                </c:pt>
                <c:pt idx="11">
                  <c:v>2009-01</c:v>
                </c:pt>
                <c:pt idx="12">
                  <c:v>2009-02</c:v>
                </c:pt>
                <c:pt idx="13">
                  <c:v>2009-03</c:v>
                </c:pt>
                <c:pt idx="14">
                  <c:v>2009-04</c:v>
                </c:pt>
                <c:pt idx="15">
                  <c:v>2009-05</c:v>
                </c:pt>
                <c:pt idx="16">
                  <c:v>2009-06</c:v>
                </c:pt>
                <c:pt idx="17">
                  <c:v>2009-07</c:v>
                </c:pt>
                <c:pt idx="18">
                  <c:v>2009-08</c:v>
                </c:pt>
                <c:pt idx="19">
                  <c:v>2009-09</c:v>
                </c:pt>
                <c:pt idx="20">
                  <c:v>2009-10</c:v>
                </c:pt>
                <c:pt idx="21">
                  <c:v>2009-11</c:v>
                </c:pt>
                <c:pt idx="22">
                  <c:v>2009-12</c:v>
                </c:pt>
                <c:pt idx="23">
                  <c:v>2010-01</c:v>
                </c:pt>
                <c:pt idx="24">
                  <c:v>2010-02</c:v>
                </c:pt>
                <c:pt idx="25">
                  <c:v>2010-03</c:v>
                </c:pt>
                <c:pt idx="26">
                  <c:v>2010-04</c:v>
                </c:pt>
                <c:pt idx="27">
                  <c:v>2010-05</c:v>
                </c:pt>
                <c:pt idx="28">
                  <c:v>2010-06</c:v>
                </c:pt>
                <c:pt idx="29">
                  <c:v>2010-07</c:v>
                </c:pt>
                <c:pt idx="30">
                  <c:v>2010-08</c:v>
                </c:pt>
                <c:pt idx="31">
                  <c:v>2010-09</c:v>
                </c:pt>
                <c:pt idx="32">
                  <c:v>2010-10</c:v>
                </c:pt>
                <c:pt idx="33">
                  <c:v>2010-11</c:v>
                </c:pt>
                <c:pt idx="34">
                  <c:v>2010-12</c:v>
                </c:pt>
                <c:pt idx="35">
                  <c:v>2011-01</c:v>
                </c:pt>
                <c:pt idx="36">
                  <c:v>2011-02</c:v>
                </c:pt>
                <c:pt idx="37">
                  <c:v>2011-03</c:v>
                </c:pt>
                <c:pt idx="38">
                  <c:v>2011-04</c:v>
                </c:pt>
                <c:pt idx="39">
                  <c:v>2011-05</c:v>
                </c:pt>
                <c:pt idx="40">
                  <c:v>2011-06</c:v>
                </c:pt>
                <c:pt idx="41">
                  <c:v>2011-07</c:v>
                </c:pt>
                <c:pt idx="42">
                  <c:v>2011-08</c:v>
                </c:pt>
                <c:pt idx="43">
                  <c:v>2011-09</c:v>
                </c:pt>
                <c:pt idx="44">
                  <c:v>2011-10</c:v>
                </c:pt>
                <c:pt idx="45">
                  <c:v>2011-11</c:v>
                </c:pt>
                <c:pt idx="46">
                  <c:v>2011-12</c:v>
                </c:pt>
                <c:pt idx="47">
                  <c:v>2012-01</c:v>
                </c:pt>
                <c:pt idx="48">
                  <c:v>2012-02</c:v>
                </c:pt>
                <c:pt idx="49">
                  <c:v>2012-03</c:v>
                </c:pt>
                <c:pt idx="50">
                  <c:v>2012-04</c:v>
                </c:pt>
                <c:pt idx="51">
                  <c:v>2012-05</c:v>
                </c:pt>
                <c:pt idx="52">
                  <c:v>2012-06</c:v>
                </c:pt>
                <c:pt idx="53">
                  <c:v>2012-07</c:v>
                </c:pt>
                <c:pt idx="54">
                  <c:v>2012-08</c:v>
                </c:pt>
                <c:pt idx="55">
                  <c:v>2012-09</c:v>
                </c:pt>
                <c:pt idx="56">
                  <c:v>2012-10</c:v>
                </c:pt>
                <c:pt idx="57">
                  <c:v>2012-11</c:v>
                </c:pt>
                <c:pt idx="58">
                  <c:v>2012-12</c:v>
                </c:pt>
                <c:pt idx="59">
                  <c:v>2013-01</c:v>
                </c:pt>
                <c:pt idx="60">
                  <c:v>2013-02</c:v>
                </c:pt>
                <c:pt idx="61">
                  <c:v>2013-03</c:v>
                </c:pt>
                <c:pt idx="62">
                  <c:v>2013-04</c:v>
                </c:pt>
                <c:pt idx="63">
                  <c:v>2013-05</c:v>
                </c:pt>
                <c:pt idx="64">
                  <c:v>2013-06</c:v>
                </c:pt>
                <c:pt idx="65">
                  <c:v>2013-07</c:v>
                </c:pt>
                <c:pt idx="66">
                  <c:v>2013-08</c:v>
                </c:pt>
                <c:pt idx="67">
                  <c:v>2013-09</c:v>
                </c:pt>
                <c:pt idx="68">
                  <c:v>2013-10</c:v>
                </c:pt>
                <c:pt idx="69">
                  <c:v>2013-11</c:v>
                </c:pt>
                <c:pt idx="70">
                  <c:v>2013-12</c:v>
                </c:pt>
                <c:pt idx="71">
                  <c:v>2014-01</c:v>
                </c:pt>
                <c:pt idx="72">
                  <c:v>2014-02</c:v>
                </c:pt>
                <c:pt idx="73">
                  <c:v>2014-03</c:v>
                </c:pt>
                <c:pt idx="74">
                  <c:v>2014-04</c:v>
                </c:pt>
                <c:pt idx="75">
                  <c:v>2014-05</c:v>
                </c:pt>
                <c:pt idx="76">
                  <c:v>2014-06</c:v>
                </c:pt>
                <c:pt idx="77">
                  <c:v>2014-07</c:v>
                </c:pt>
                <c:pt idx="78">
                  <c:v>2014-08</c:v>
                </c:pt>
                <c:pt idx="79">
                  <c:v>2014-09</c:v>
                </c:pt>
                <c:pt idx="80">
                  <c:v>2014-10</c:v>
                </c:pt>
                <c:pt idx="81">
                  <c:v>2014-11</c:v>
                </c:pt>
                <c:pt idx="82">
                  <c:v>2014-12</c:v>
                </c:pt>
                <c:pt idx="83">
                  <c:v>2015-01</c:v>
                </c:pt>
                <c:pt idx="84">
                  <c:v>2015-02</c:v>
                </c:pt>
                <c:pt idx="85">
                  <c:v>2015-03</c:v>
                </c:pt>
                <c:pt idx="86">
                  <c:v>2015-04</c:v>
                </c:pt>
                <c:pt idx="87">
                  <c:v>2015-05</c:v>
                </c:pt>
                <c:pt idx="88">
                  <c:v>2015-06</c:v>
                </c:pt>
                <c:pt idx="89">
                  <c:v>2015-07</c:v>
                </c:pt>
                <c:pt idx="90">
                  <c:v>2015-08</c:v>
                </c:pt>
                <c:pt idx="91">
                  <c:v>2015-09</c:v>
                </c:pt>
                <c:pt idx="92">
                  <c:v>2015-10</c:v>
                </c:pt>
                <c:pt idx="93">
                  <c:v>2015-11</c:v>
                </c:pt>
                <c:pt idx="94">
                  <c:v>2015-12</c:v>
                </c:pt>
                <c:pt idx="95">
                  <c:v>2016-01</c:v>
                </c:pt>
                <c:pt idx="96">
                  <c:v>2016-02</c:v>
                </c:pt>
                <c:pt idx="97">
                  <c:v>2016-03</c:v>
                </c:pt>
                <c:pt idx="98">
                  <c:v>2016-04</c:v>
                </c:pt>
                <c:pt idx="99">
                  <c:v>2016-05</c:v>
                </c:pt>
                <c:pt idx="100">
                  <c:v>2016-06</c:v>
                </c:pt>
                <c:pt idx="101">
                  <c:v>2016-07</c:v>
                </c:pt>
                <c:pt idx="102">
                  <c:v>2016-08</c:v>
                </c:pt>
                <c:pt idx="103">
                  <c:v>2016-09</c:v>
                </c:pt>
                <c:pt idx="104">
                  <c:v>2016-10</c:v>
                </c:pt>
                <c:pt idx="105">
                  <c:v>2016-11</c:v>
                </c:pt>
                <c:pt idx="106">
                  <c:v>2016-12</c:v>
                </c:pt>
                <c:pt idx="107">
                  <c:v>2017-01</c:v>
                </c:pt>
                <c:pt idx="108">
                  <c:v>2017-02</c:v>
                </c:pt>
                <c:pt idx="109">
                  <c:v>2017-03</c:v>
                </c:pt>
                <c:pt idx="110">
                  <c:v>2017-04</c:v>
                </c:pt>
                <c:pt idx="111">
                  <c:v>2017-05</c:v>
                </c:pt>
                <c:pt idx="112">
                  <c:v>2017-06</c:v>
                </c:pt>
                <c:pt idx="113">
                  <c:v>2017-07</c:v>
                </c:pt>
                <c:pt idx="114">
                  <c:v>2017-08</c:v>
                </c:pt>
                <c:pt idx="115">
                  <c:v>2017-09</c:v>
                </c:pt>
                <c:pt idx="116">
                  <c:v>2017-10</c:v>
                </c:pt>
                <c:pt idx="117">
                  <c:v>2017-11</c:v>
                </c:pt>
                <c:pt idx="118">
                  <c:v>2017-12</c:v>
                </c:pt>
                <c:pt idx="119">
                  <c:v>2018-01</c:v>
                </c:pt>
                <c:pt idx="120">
                  <c:v>2018-02</c:v>
                </c:pt>
              </c:strCache>
            </c:strRef>
          </c:cat>
          <c:val>
            <c:numRef>
              <c:f>Graph!$C$2:$C$122</c:f>
              <c:numCache>
                <c:formatCode>General</c:formatCode>
                <c:ptCount val="121"/>
                <c:pt idx="0">
                  <c:v>287781</c:v>
                </c:pt>
                <c:pt idx="1">
                  <c:v>282568</c:v>
                </c:pt>
                <c:pt idx="2">
                  <c:v>278384</c:v>
                </c:pt>
                <c:pt idx="3">
                  <c:v>270540</c:v>
                </c:pt>
                <c:pt idx="4">
                  <c:v>270220</c:v>
                </c:pt>
                <c:pt idx="5">
                  <c:v>267147</c:v>
                </c:pt>
                <c:pt idx="6">
                  <c:v>271744</c:v>
                </c:pt>
                <c:pt idx="7">
                  <c:v>271211</c:v>
                </c:pt>
                <c:pt idx="8">
                  <c:v>256503</c:v>
                </c:pt>
                <c:pt idx="9">
                  <c:v>243539</c:v>
                </c:pt>
                <c:pt idx="10">
                  <c:v>226295</c:v>
                </c:pt>
                <c:pt idx="11">
                  <c:v>224196</c:v>
                </c:pt>
                <c:pt idx="12">
                  <c:v>223319</c:v>
                </c:pt>
                <c:pt idx="13">
                  <c:v>228586</c:v>
                </c:pt>
                <c:pt idx="14">
                  <c:v>230901</c:v>
                </c:pt>
                <c:pt idx="15">
                  <c:v>230877</c:v>
                </c:pt>
                <c:pt idx="16">
                  <c:v>239036</c:v>
                </c:pt>
                <c:pt idx="17">
                  <c:v>242816</c:v>
                </c:pt>
                <c:pt idx="18">
                  <c:v>252655</c:v>
                </c:pt>
                <c:pt idx="19">
                  <c:v>252680</c:v>
                </c:pt>
                <c:pt idx="20">
                  <c:v>254958</c:v>
                </c:pt>
                <c:pt idx="21">
                  <c:v>253216</c:v>
                </c:pt>
                <c:pt idx="22">
                  <c:v>256211</c:v>
                </c:pt>
                <c:pt idx="23">
                  <c:v>261647</c:v>
                </c:pt>
                <c:pt idx="24">
                  <c:v>267622</c:v>
                </c:pt>
                <c:pt idx="25">
                  <c:v>272197</c:v>
                </c:pt>
                <c:pt idx="26">
                  <c:v>274040</c:v>
                </c:pt>
                <c:pt idx="27">
                  <c:v>274038</c:v>
                </c:pt>
                <c:pt idx="28">
                  <c:v>275999</c:v>
                </c:pt>
                <c:pt idx="29">
                  <c:v>280956</c:v>
                </c:pt>
                <c:pt idx="30">
                  <c:v>285610</c:v>
                </c:pt>
                <c:pt idx="31">
                  <c:v>292148</c:v>
                </c:pt>
                <c:pt idx="32">
                  <c:v>289969</c:v>
                </c:pt>
                <c:pt idx="33">
                  <c:v>280512</c:v>
                </c:pt>
                <c:pt idx="34">
                  <c:v>268619</c:v>
                </c:pt>
                <c:pt idx="35">
                  <c:v>265220</c:v>
                </c:pt>
                <c:pt idx="36">
                  <c:v>270136</c:v>
                </c:pt>
                <c:pt idx="37">
                  <c:v>272977</c:v>
                </c:pt>
                <c:pt idx="38">
                  <c:v>269442</c:v>
                </c:pt>
                <c:pt idx="39">
                  <c:v>267551</c:v>
                </c:pt>
                <c:pt idx="40">
                  <c:v>270729</c:v>
                </c:pt>
                <c:pt idx="41">
                  <c:v>277502</c:v>
                </c:pt>
                <c:pt idx="42">
                  <c:v>282968</c:v>
                </c:pt>
                <c:pt idx="43">
                  <c:v>279354</c:v>
                </c:pt>
                <c:pt idx="44">
                  <c:v>274343</c:v>
                </c:pt>
                <c:pt idx="45">
                  <c:v>271054</c:v>
                </c:pt>
                <c:pt idx="46">
                  <c:v>269384</c:v>
                </c:pt>
                <c:pt idx="47">
                  <c:v>277471</c:v>
                </c:pt>
                <c:pt idx="48">
                  <c:v>284511</c:v>
                </c:pt>
                <c:pt idx="49">
                  <c:v>289649</c:v>
                </c:pt>
                <c:pt idx="50">
                  <c:v>285285</c:v>
                </c:pt>
                <c:pt idx="51">
                  <c:v>286946</c:v>
                </c:pt>
                <c:pt idx="52">
                  <c:v>287038</c:v>
                </c:pt>
                <c:pt idx="53">
                  <c:v>296359</c:v>
                </c:pt>
                <c:pt idx="54">
                  <c:v>296929</c:v>
                </c:pt>
                <c:pt idx="55">
                  <c:v>301518</c:v>
                </c:pt>
                <c:pt idx="56">
                  <c:v>297061</c:v>
                </c:pt>
                <c:pt idx="57">
                  <c:v>297795</c:v>
                </c:pt>
                <c:pt idx="58">
                  <c:v>297409</c:v>
                </c:pt>
                <c:pt idx="59">
                  <c:v>301849</c:v>
                </c:pt>
                <c:pt idx="60">
                  <c:v>290471</c:v>
                </c:pt>
                <c:pt idx="61">
                  <c:v>289657</c:v>
                </c:pt>
                <c:pt idx="62">
                  <c:v>288113</c:v>
                </c:pt>
                <c:pt idx="63">
                  <c:v>293939</c:v>
                </c:pt>
                <c:pt idx="64">
                  <c:v>295857</c:v>
                </c:pt>
                <c:pt idx="65">
                  <c:v>299160</c:v>
                </c:pt>
                <c:pt idx="66">
                  <c:v>307574</c:v>
                </c:pt>
                <c:pt idx="67">
                  <c:v>311785</c:v>
                </c:pt>
                <c:pt idx="68">
                  <c:v>310807</c:v>
                </c:pt>
                <c:pt idx="69">
                  <c:v>306784</c:v>
                </c:pt>
                <c:pt idx="70">
                  <c:v>307503</c:v>
                </c:pt>
                <c:pt idx="71">
                  <c:v>309083</c:v>
                </c:pt>
                <c:pt idx="72">
                  <c:v>311135</c:v>
                </c:pt>
                <c:pt idx="73">
                  <c:v>313392</c:v>
                </c:pt>
                <c:pt idx="74">
                  <c:v>315072</c:v>
                </c:pt>
                <c:pt idx="75">
                  <c:v>322946</c:v>
                </c:pt>
                <c:pt idx="76">
                  <c:v>329539</c:v>
                </c:pt>
                <c:pt idx="77">
                  <c:v>342136</c:v>
                </c:pt>
                <c:pt idx="78">
                  <c:v>352043</c:v>
                </c:pt>
                <c:pt idx="79">
                  <c:v>358125</c:v>
                </c:pt>
                <c:pt idx="80">
                  <c:v>357046</c:v>
                </c:pt>
                <c:pt idx="81">
                  <c:v>352269</c:v>
                </c:pt>
                <c:pt idx="82">
                  <c:v>351015</c:v>
                </c:pt>
                <c:pt idx="83">
                  <c:v>351819</c:v>
                </c:pt>
                <c:pt idx="84">
                  <c:v>355921</c:v>
                </c:pt>
                <c:pt idx="85">
                  <c:v>358711</c:v>
                </c:pt>
                <c:pt idx="86">
                  <c:v>361336</c:v>
                </c:pt>
                <c:pt idx="87">
                  <c:v>367461</c:v>
                </c:pt>
                <c:pt idx="88">
                  <c:v>373992</c:v>
                </c:pt>
                <c:pt idx="89">
                  <c:v>391365</c:v>
                </c:pt>
                <c:pt idx="90">
                  <c:v>395737</c:v>
                </c:pt>
                <c:pt idx="91">
                  <c:v>398839</c:v>
                </c:pt>
                <c:pt idx="92">
                  <c:v>388339</c:v>
                </c:pt>
                <c:pt idx="93">
                  <c:v>388471</c:v>
                </c:pt>
                <c:pt idx="94">
                  <c:v>387778</c:v>
                </c:pt>
                <c:pt idx="95">
                  <c:v>394481</c:v>
                </c:pt>
                <c:pt idx="96">
                  <c:v>393454</c:v>
                </c:pt>
                <c:pt idx="97">
                  <c:v>406422</c:v>
                </c:pt>
                <c:pt idx="98">
                  <c:v>396693</c:v>
                </c:pt>
                <c:pt idx="99">
                  <c:v>389705</c:v>
                </c:pt>
                <c:pt idx="100">
                  <c:v>384433</c:v>
                </c:pt>
                <c:pt idx="101">
                  <c:v>402308</c:v>
                </c:pt>
                <c:pt idx="102">
                  <c:v>419571</c:v>
                </c:pt>
                <c:pt idx="103">
                  <c:v>419363</c:v>
                </c:pt>
                <c:pt idx="104">
                  <c:v>416745</c:v>
                </c:pt>
                <c:pt idx="105">
                  <c:v>413473</c:v>
                </c:pt>
                <c:pt idx="106">
                  <c:v>409499</c:v>
                </c:pt>
                <c:pt idx="107">
                  <c:v>412321</c:v>
                </c:pt>
                <c:pt idx="108">
                  <c:v>405888</c:v>
                </c:pt>
                <c:pt idx="109">
                  <c:v>410782</c:v>
                </c:pt>
                <c:pt idx="110">
                  <c:v>407918</c:v>
                </c:pt>
                <c:pt idx="111">
                  <c:v>412885</c:v>
                </c:pt>
                <c:pt idx="112">
                  <c:v>411942</c:v>
                </c:pt>
                <c:pt idx="113">
                  <c:v>414587</c:v>
                </c:pt>
                <c:pt idx="114">
                  <c:v>417760</c:v>
                </c:pt>
                <c:pt idx="115">
                  <c:v>421961</c:v>
                </c:pt>
                <c:pt idx="116">
                  <c:v>423076</c:v>
                </c:pt>
                <c:pt idx="117">
                  <c:v>419417</c:v>
                </c:pt>
                <c:pt idx="118">
                  <c:v>410454</c:v>
                </c:pt>
                <c:pt idx="119">
                  <c:v>397246</c:v>
                </c:pt>
                <c:pt idx="120">
                  <c:v>396679</c:v>
                </c:pt>
              </c:numCache>
            </c:numRef>
          </c:val>
          <c:smooth val="0"/>
        </c:ser>
        <c:dLbls>
          <c:showLegendKey val="0"/>
          <c:showVal val="0"/>
          <c:showCatName val="0"/>
          <c:showSerName val="0"/>
          <c:showPercent val="0"/>
          <c:showBubbleSize val="0"/>
        </c:dLbls>
        <c:marker val="1"/>
        <c:smooth val="0"/>
        <c:axId val="90843392"/>
        <c:axId val="90869760"/>
      </c:lineChart>
      <c:catAx>
        <c:axId val="90843392"/>
        <c:scaling>
          <c:orientation val="minMax"/>
        </c:scaling>
        <c:delete val="0"/>
        <c:axPos val="b"/>
        <c:majorGridlines>
          <c:spPr>
            <a:ln>
              <a:noFill/>
            </a:ln>
          </c:spPr>
        </c:majorGridlines>
        <c:numFmt formatCode="General" sourceLinked="1"/>
        <c:majorTickMark val="out"/>
        <c:minorTickMark val="none"/>
        <c:tickLblPos val="nextTo"/>
        <c:crossAx val="90869760"/>
        <c:crosses val="autoZero"/>
        <c:auto val="1"/>
        <c:lblAlgn val="ctr"/>
        <c:lblOffset val="100"/>
        <c:tickLblSkip val="6"/>
        <c:tickMarkSkip val="3"/>
        <c:noMultiLvlLbl val="0"/>
      </c:catAx>
      <c:valAx>
        <c:axId val="90869760"/>
        <c:scaling>
          <c:orientation val="minMax"/>
        </c:scaling>
        <c:delete val="0"/>
        <c:axPos val="l"/>
        <c:majorGridlines>
          <c:spPr>
            <a:ln>
              <a:solidFill>
                <a:schemeClr val="bg1">
                  <a:lumMod val="85000"/>
                </a:schemeClr>
              </a:solidFill>
            </a:ln>
          </c:spPr>
        </c:majorGridlines>
        <c:title>
          <c:tx>
            <c:rich>
              <a:bodyPr rot="-5400000" vert="horz"/>
              <a:lstStyle/>
              <a:p>
                <a:pPr>
                  <a:defRPr/>
                </a:pPr>
                <a:r>
                  <a:rPr lang="en-GB"/>
                  <a:t>Average price (line)</a:t>
                </a:r>
              </a:p>
            </c:rich>
          </c:tx>
          <c:layout>
            <c:manualLayout>
              <c:xMode val="edge"/>
              <c:yMode val="edge"/>
              <c:x val="8.4254857010551427E-3"/>
              <c:y val="0.36912872206648417"/>
            </c:manualLayout>
          </c:layout>
          <c:overlay val="0"/>
        </c:title>
        <c:numFmt formatCode="&quot;£&quot;#,##0" sourceLinked="0"/>
        <c:majorTickMark val="out"/>
        <c:minorTickMark val="none"/>
        <c:tickLblPos val="nextTo"/>
        <c:spPr>
          <a:ln>
            <a:solidFill>
              <a:schemeClr val="bg1">
                <a:lumMod val="65000"/>
              </a:schemeClr>
            </a:solidFill>
          </a:ln>
        </c:spPr>
        <c:crossAx val="90843392"/>
        <c:crosses val="autoZero"/>
        <c:crossBetween val="midCat"/>
      </c:valAx>
      <c:valAx>
        <c:axId val="90871680"/>
        <c:scaling>
          <c:orientation val="minMax"/>
        </c:scaling>
        <c:delete val="0"/>
        <c:axPos val="r"/>
        <c:title>
          <c:tx>
            <c:rich>
              <a:bodyPr rot="5400000" vert="horz"/>
              <a:lstStyle/>
              <a:p>
                <a:pPr>
                  <a:defRPr>
                    <a:solidFill>
                      <a:schemeClr val="accent2">
                        <a:lumMod val="75000"/>
                      </a:schemeClr>
                    </a:solidFill>
                  </a:defRPr>
                </a:pPr>
                <a:r>
                  <a:rPr lang="en-GB">
                    <a:solidFill>
                      <a:schemeClr val="accent2">
                        <a:lumMod val="75000"/>
                      </a:schemeClr>
                    </a:solidFill>
                  </a:rPr>
                  <a:t>Sales Volume</a:t>
                </a:r>
                <a:r>
                  <a:rPr lang="en-GB" baseline="0">
                    <a:solidFill>
                      <a:schemeClr val="accent2">
                        <a:lumMod val="75000"/>
                      </a:schemeClr>
                    </a:solidFill>
                  </a:rPr>
                  <a:t> (bars)</a:t>
                </a:r>
                <a:endParaRPr lang="en-GB">
                  <a:solidFill>
                    <a:schemeClr val="accent2">
                      <a:lumMod val="75000"/>
                    </a:schemeClr>
                  </a:solidFill>
                </a:endParaRPr>
              </a:p>
            </c:rich>
          </c:tx>
          <c:layout>
            <c:manualLayout>
              <c:xMode val="edge"/>
              <c:yMode val="edge"/>
              <c:x val="0.96655079446257541"/>
              <c:y val="0.36558775822149159"/>
            </c:manualLayout>
          </c:layout>
          <c:overlay val="0"/>
        </c:title>
        <c:numFmt formatCode="General" sourceLinked="1"/>
        <c:majorTickMark val="out"/>
        <c:minorTickMark val="none"/>
        <c:tickLblPos val="nextTo"/>
        <c:spPr>
          <a:ln>
            <a:solidFill>
              <a:schemeClr val="bg1">
                <a:lumMod val="65000"/>
              </a:schemeClr>
            </a:solidFill>
          </a:ln>
        </c:spPr>
        <c:txPr>
          <a:bodyPr/>
          <a:lstStyle/>
          <a:p>
            <a:pPr>
              <a:defRPr>
                <a:solidFill>
                  <a:schemeClr val="accent2">
                    <a:lumMod val="75000"/>
                  </a:schemeClr>
                </a:solidFill>
              </a:defRPr>
            </a:pPr>
            <a:endParaRPr lang="en-US"/>
          </a:p>
        </c:txPr>
        <c:crossAx val="90873856"/>
        <c:crosses val="max"/>
        <c:crossBetween val="between"/>
      </c:valAx>
      <c:catAx>
        <c:axId val="90873856"/>
        <c:scaling>
          <c:orientation val="minMax"/>
        </c:scaling>
        <c:delete val="1"/>
        <c:axPos val="b"/>
        <c:majorTickMark val="out"/>
        <c:minorTickMark val="none"/>
        <c:tickLblPos val="nextTo"/>
        <c:crossAx val="90871680"/>
        <c:crosses val="autoZero"/>
        <c:auto val="1"/>
        <c:lblAlgn val="ctr"/>
        <c:lblOffset val="100"/>
        <c:tickLblSkip val="3"/>
        <c:tickMarkSkip val="1"/>
        <c:noMultiLvlLbl val="0"/>
      </c:catAx>
      <c:spPr>
        <a:noFill/>
      </c:spPr>
    </c:plotArea>
    <c:legend>
      <c:legendPos val="b"/>
      <c:layout/>
      <c:overlay val="0"/>
      <c:txPr>
        <a:bodyPr/>
        <a:lstStyle/>
        <a:p>
          <a:pPr>
            <a:defRPr>
              <a:solidFill>
                <a:sysClr val="windowText" lastClr="000000"/>
              </a:solidFill>
            </a:defRPr>
          </a:pPr>
          <a:endParaRPr lang="en-US"/>
        </a:p>
      </c:txPr>
    </c:legend>
    <c:plotVisOnly val="1"/>
    <c:dispBlanksAs val="gap"/>
    <c:showDLblsOverMax val="0"/>
  </c:chart>
  <c:txPr>
    <a:bodyPr/>
    <a:lstStyle/>
    <a:p>
      <a:pPr>
        <a:defRPr sz="1050">
          <a:solidFill>
            <a:schemeClr val="accent1">
              <a:lumMod val="75000"/>
            </a:schemeClr>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Sheet1!$B$9</c:f>
              <c:strCache>
                <c:ptCount val="1"/>
                <c:pt idx="0">
                  <c:v>CCLA 31/03/2018</c:v>
                </c:pt>
              </c:strCache>
            </c:strRef>
          </c:tx>
          <c:cat>
            <c:strRef>
              <c:f>Sheet1!$A$10:$A$16</c:f>
              <c:strCache>
                <c:ptCount val="7"/>
                <c:pt idx="0">
                  <c:v>Retail</c:v>
                </c:pt>
                <c:pt idx="1">
                  <c:v>Retail Warehouse</c:v>
                </c:pt>
                <c:pt idx="2">
                  <c:v>Office</c:v>
                </c:pt>
                <c:pt idx="3">
                  <c:v>Industrial</c:v>
                </c:pt>
                <c:pt idx="4">
                  <c:v>Other</c:v>
                </c:pt>
                <c:pt idx="5">
                  <c:v>Cash</c:v>
                </c:pt>
                <c:pt idx="6">
                  <c:v>Indirect</c:v>
                </c:pt>
              </c:strCache>
            </c:strRef>
          </c:cat>
          <c:val>
            <c:numRef>
              <c:f>Sheet1!$B$10:$B$16</c:f>
              <c:numCache>
                <c:formatCode>General</c:formatCode>
                <c:ptCount val="7"/>
                <c:pt idx="0">
                  <c:v>5.07</c:v>
                </c:pt>
                <c:pt idx="1">
                  <c:v>14.48</c:v>
                </c:pt>
                <c:pt idx="2">
                  <c:v>30.4</c:v>
                </c:pt>
                <c:pt idx="3">
                  <c:v>33.54</c:v>
                </c:pt>
                <c:pt idx="4">
                  <c:v>9.86</c:v>
                </c:pt>
                <c:pt idx="5">
                  <c:v>6.19</c:v>
                </c:pt>
                <c:pt idx="6">
                  <c:v>0.46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Lothbury 31/03/2018</c:v>
                </c:pt>
              </c:strCache>
            </c:strRef>
          </c:tx>
          <c:cat>
            <c:strRef>
              <c:f>Sheet1!$A$2:$A$7</c:f>
              <c:strCache>
                <c:ptCount val="6"/>
                <c:pt idx="0">
                  <c:v>Retail</c:v>
                </c:pt>
                <c:pt idx="1">
                  <c:v>Retail Warehouse</c:v>
                </c:pt>
                <c:pt idx="2">
                  <c:v>Office</c:v>
                </c:pt>
                <c:pt idx="3">
                  <c:v>Industrial</c:v>
                </c:pt>
                <c:pt idx="4">
                  <c:v>Other</c:v>
                </c:pt>
                <c:pt idx="5">
                  <c:v>Cash</c:v>
                </c:pt>
              </c:strCache>
            </c:strRef>
          </c:cat>
          <c:val>
            <c:numRef>
              <c:f>Sheet1!$B$2:$B$7</c:f>
              <c:numCache>
                <c:formatCode>General</c:formatCode>
                <c:ptCount val="6"/>
                <c:pt idx="0">
                  <c:v>33.1</c:v>
                </c:pt>
                <c:pt idx="1">
                  <c:v>11.9</c:v>
                </c:pt>
                <c:pt idx="2">
                  <c:v>24.6</c:v>
                </c:pt>
                <c:pt idx="3">
                  <c:v>18.3</c:v>
                </c:pt>
                <c:pt idx="4">
                  <c:v>8.9</c:v>
                </c:pt>
                <c:pt idx="5">
                  <c:v>3.1</c:v>
                </c:pt>
              </c:numCache>
            </c:numRef>
          </c:val>
        </c:ser>
        <c:ser>
          <c:idx val="1"/>
          <c:order val="1"/>
          <c:tx>
            <c:strRef>
              <c:f>Sheet1!$B$9</c:f>
              <c:strCache>
                <c:ptCount val="1"/>
                <c:pt idx="0">
                  <c:v>CCLA 31/03/2018</c:v>
                </c:pt>
              </c:strCache>
            </c:strRef>
          </c:tx>
          <c:cat>
            <c:strRef>
              <c:f>Sheet1!$A$2:$A$7</c:f>
              <c:strCache>
                <c:ptCount val="6"/>
                <c:pt idx="0">
                  <c:v>Retail</c:v>
                </c:pt>
                <c:pt idx="1">
                  <c:v>Retail Warehouse</c:v>
                </c:pt>
                <c:pt idx="2">
                  <c:v>Office</c:v>
                </c:pt>
                <c:pt idx="3">
                  <c:v>Industrial</c:v>
                </c:pt>
                <c:pt idx="4">
                  <c:v>Other</c:v>
                </c:pt>
                <c:pt idx="5">
                  <c:v>Cash</c:v>
                </c:pt>
              </c:strCache>
            </c:strRef>
          </c:cat>
          <c:val>
            <c:numRef>
              <c:f>Sheet1!$B$10:$B$15</c:f>
              <c:numCache>
                <c:formatCode>General</c:formatCode>
                <c:ptCount val="6"/>
                <c:pt idx="0">
                  <c:v>5.07</c:v>
                </c:pt>
                <c:pt idx="1">
                  <c:v>14.48</c:v>
                </c:pt>
                <c:pt idx="2">
                  <c:v>30.4</c:v>
                </c:pt>
                <c:pt idx="3">
                  <c:v>33.54</c:v>
                </c:pt>
                <c:pt idx="4">
                  <c:v>9.86</c:v>
                </c:pt>
                <c:pt idx="5">
                  <c:v>6.19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F98A-B2DD-4E26-BC3B-274B359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3849A7B4</Template>
  <TotalTime>15</TotalTime>
  <Pages>22</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nkennedy</dc:creator>
  <cp:lastModifiedBy>srobinson</cp:lastModifiedBy>
  <cp:revision>3</cp:revision>
  <cp:lastPrinted>2018-06-27T11:12:00Z</cp:lastPrinted>
  <dcterms:created xsi:type="dcterms:W3CDTF">2018-06-28T09:18:00Z</dcterms:created>
  <dcterms:modified xsi:type="dcterms:W3CDTF">2018-06-28T09:51:00Z</dcterms:modified>
</cp:coreProperties>
</file>